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78F9A6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8" w:lineRule="atLeast"/>
        <w:ind w:left="0" w:right="0"/>
        <w:jc w:val="left"/>
        <w:rPr>
          <w:rFonts w:hint="default" w:ascii="Tahoma" w:hAnsi="Tahoma" w:eastAsia="Tahoma" w:cs="Tahoma"/>
          <w:color w:val="333333"/>
          <w:sz w:val="21"/>
          <w:szCs w:val="21"/>
        </w:rPr>
      </w:pPr>
      <w:r>
        <w:rPr>
          <w:rFonts w:hint="eastAsia" w:ascii="仿宋_GB2312" w:hAnsi="仿宋_GB2312" w:eastAsia="仿宋_GB2312" w:cs="仿宋_GB2312"/>
          <w:i w:val="0"/>
          <w:iCs w:val="0"/>
          <w:caps w:val="0"/>
          <w:color w:val="333333"/>
          <w:spacing w:val="0"/>
          <w:kern w:val="0"/>
          <w:sz w:val="21"/>
          <w:szCs w:val="21"/>
          <w:lang w:val="en-US" w:eastAsia="zh-CN" w:bidi="ar"/>
        </w:rPr>
        <w:t> 附件3</w:t>
      </w:r>
    </w:p>
    <w:p w14:paraId="11D5395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8" w:lineRule="atLeast"/>
        <w:ind w:left="0" w:right="0"/>
        <w:jc w:val="left"/>
        <w:rPr>
          <w:rFonts w:hint="default" w:ascii="Tahoma" w:hAnsi="Tahoma" w:eastAsia="Tahoma" w:cs="Tahoma"/>
          <w:color w:val="333333"/>
          <w:sz w:val="21"/>
          <w:szCs w:val="21"/>
        </w:rPr>
      </w:pPr>
      <w:r>
        <w:rPr>
          <w:rFonts w:hint="eastAsia" w:ascii="仿宋_GB2312" w:hAnsi="仿宋_GB2312" w:eastAsia="仿宋_GB2312" w:cs="仿宋_GB2312"/>
          <w:i w:val="0"/>
          <w:iCs w:val="0"/>
          <w:caps w:val="0"/>
          <w:color w:val="333333"/>
          <w:spacing w:val="0"/>
          <w:kern w:val="0"/>
          <w:sz w:val="21"/>
          <w:szCs w:val="21"/>
          <w:lang w:val="en-US" w:eastAsia="zh-CN" w:bidi="ar"/>
        </w:rPr>
        <w:t> </w:t>
      </w:r>
    </w:p>
    <w:p w14:paraId="073BC83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8" w:lineRule="atLeast"/>
        <w:ind w:left="0" w:right="0"/>
        <w:jc w:val="center"/>
        <w:rPr>
          <w:rFonts w:hint="default" w:ascii="Tahoma" w:hAnsi="Tahoma" w:eastAsia="Tahoma" w:cs="Tahoma"/>
          <w:color w:val="333333"/>
          <w:sz w:val="21"/>
          <w:szCs w:val="21"/>
        </w:rPr>
      </w:pPr>
      <w:r>
        <w:rPr>
          <w:rStyle w:val="5"/>
          <w:rFonts w:hint="eastAsia" w:ascii="仿宋_GB2312" w:hAnsi="仿宋_GB2312" w:eastAsia="仿宋_GB2312" w:cs="仿宋_GB2312"/>
          <w:i w:val="0"/>
          <w:iCs w:val="0"/>
          <w:caps w:val="0"/>
          <w:color w:val="333333"/>
          <w:spacing w:val="0"/>
          <w:kern w:val="0"/>
          <w:sz w:val="21"/>
          <w:szCs w:val="21"/>
          <w:lang w:val="en-US" w:eastAsia="zh-CN" w:bidi="ar"/>
        </w:rPr>
        <w:t>武汉商学院2026年普通专升本退役大学生士兵</w:t>
      </w:r>
    </w:p>
    <w:p w14:paraId="7494AEA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8" w:lineRule="atLeast"/>
        <w:ind w:left="0" w:right="0"/>
        <w:jc w:val="center"/>
        <w:rPr>
          <w:rFonts w:hint="default" w:ascii="Tahoma" w:hAnsi="Tahoma" w:eastAsia="Tahoma" w:cs="Tahoma"/>
          <w:color w:val="333333"/>
          <w:sz w:val="21"/>
          <w:szCs w:val="21"/>
        </w:rPr>
      </w:pPr>
      <w:r>
        <w:rPr>
          <w:rStyle w:val="5"/>
          <w:rFonts w:hint="eastAsia" w:ascii="仿宋_GB2312" w:hAnsi="仿宋_GB2312" w:eastAsia="仿宋_GB2312" w:cs="仿宋_GB2312"/>
          <w:i w:val="0"/>
          <w:iCs w:val="0"/>
          <w:caps w:val="0"/>
          <w:color w:val="333333"/>
          <w:spacing w:val="0"/>
          <w:kern w:val="0"/>
          <w:sz w:val="21"/>
          <w:szCs w:val="21"/>
          <w:lang w:val="en-US" w:eastAsia="zh-CN" w:bidi="ar"/>
        </w:rPr>
        <w:t>职业适应性综合考查工作方案</w:t>
      </w:r>
    </w:p>
    <w:p w14:paraId="5BD660F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8" w:lineRule="atLeast"/>
        <w:ind w:left="0" w:right="0"/>
        <w:jc w:val="center"/>
        <w:rPr>
          <w:rFonts w:hint="default" w:ascii="Tahoma" w:hAnsi="Tahoma" w:eastAsia="Tahoma" w:cs="Tahoma"/>
          <w:color w:val="333333"/>
          <w:sz w:val="21"/>
          <w:szCs w:val="21"/>
        </w:rPr>
      </w:pPr>
      <w:r>
        <w:rPr>
          <w:rStyle w:val="5"/>
          <w:rFonts w:hint="eastAsia" w:ascii="仿宋_GB2312" w:hAnsi="仿宋_GB2312" w:eastAsia="仿宋_GB2312" w:cs="仿宋_GB2312"/>
          <w:i w:val="0"/>
          <w:iCs w:val="0"/>
          <w:caps w:val="0"/>
          <w:color w:val="333333"/>
          <w:spacing w:val="0"/>
          <w:kern w:val="0"/>
          <w:sz w:val="21"/>
          <w:szCs w:val="21"/>
          <w:lang w:val="en-US" w:eastAsia="zh-CN" w:bidi="ar"/>
        </w:rPr>
        <w:t> </w:t>
      </w:r>
    </w:p>
    <w:p w14:paraId="05D2630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8" w:lineRule="atLeast"/>
        <w:ind w:left="0" w:right="0" w:firstLine="630"/>
        <w:jc w:val="left"/>
        <w:rPr>
          <w:rFonts w:hint="default" w:ascii="Tahoma" w:hAnsi="Tahoma" w:eastAsia="Tahoma" w:cs="Tahoma"/>
          <w:color w:val="333333"/>
          <w:sz w:val="21"/>
          <w:szCs w:val="21"/>
        </w:rPr>
      </w:pPr>
      <w:r>
        <w:rPr>
          <w:rFonts w:hint="eastAsia" w:ascii="仿宋_GB2312" w:hAnsi="仿宋_GB2312" w:eastAsia="仿宋_GB2312" w:cs="仿宋_GB2312"/>
          <w:i w:val="0"/>
          <w:iCs w:val="0"/>
          <w:caps w:val="0"/>
          <w:color w:val="333333"/>
          <w:spacing w:val="0"/>
          <w:kern w:val="0"/>
          <w:sz w:val="21"/>
          <w:szCs w:val="21"/>
          <w:lang w:val="en-US" w:eastAsia="zh-CN" w:bidi="ar"/>
        </w:rPr>
        <w:t>为做好我校2026年普通专升本退役大学生士兵职业适应性综合考查工作，特制定本工作方案。</w:t>
      </w:r>
    </w:p>
    <w:p w14:paraId="19E252D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8" w:lineRule="atLeast"/>
        <w:ind w:left="0" w:right="0" w:firstLine="630"/>
        <w:jc w:val="left"/>
        <w:rPr>
          <w:rFonts w:hint="default" w:ascii="Tahoma" w:hAnsi="Tahoma" w:eastAsia="Tahoma" w:cs="Tahoma"/>
          <w:color w:val="333333"/>
          <w:sz w:val="21"/>
          <w:szCs w:val="21"/>
        </w:rPr>
      </w:pPr>
      <w:r>
        <w:rPr>
          <w:rFonts w:hint="eastAsia" w:ascii="仿宋_GB2312" w:hAnsi="仿宋_GB2312" w:eastAsia="仿宋_GB2312" w:cs="仿宋_GB2312"/>
          <w:i w:val="0"/>
          <w:iCs w:val="0"/>
          <w:caps w:val="0"/>
          <w:color w:val="333333"/>
          <w:spacing w:val="0"/>
          <w:kern w:val="0"/>
          <w:sz w:val="21"/>
          <w:szCs w:val="21"/>
          <w:lang w:val="en-US" w:eastAsia="zh-CN" w:bidi="ar"/>
        </w:rPr>
        <w:t>一、指导原则</w:t>
      </w:r>
    </w:p>
    <w:p w14:paraId="1A260DD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8" w:lineRule="atLeast"/>
        <w:ind w:left="0" w:right="0" w:firstLine="630"/>
        <w:jc w:val="left"/>
        <w:rPr>
          <w:rFonts w:hint="default" w:ascii="Tahoma" w:hAnsi="Tahoma" w:eastAsia="Tahoma" w:cs="Tahoma"/>
          <w:color w:val="333333"/>
          <w:sz w:val="21"/>
          <w:szCs w:val="21"/>
        </w:rPr>
      </w:pPr>
      <w:r>
        <w:rPr>
          <w:rFonts w:hint="eastAsia" w:ascii="仿宋_GB2312" w:hAnsi="仿宋_GB2312" w:eastAsia="仿宋_GB2312" w:cs="仿宋_GB2312"/>
          <w:i w:val="0"/>
          <w:iCs w:val="0"/>
          <w:caps w:val="0"/>
          <w:color w:val="333333"/>
          <w:spacing w:val="0"/>
          <w:kern w:val="0"/>
          <w:sz w:val="21"/>
          <w:szCs w:val="21"/>
          <w:lang w:val="en-US" w:eastAsia="zh-CN" w:bidi="ar"/>
        </w:rPr>
        <w:t>根据教育部和省教育厅文件精神，严格执行招生、考试政策规定，遵循公开、公平、公正和择优的原则，严格考查标准和程序、规范操作、优化服务，规范开展我校2026年普通专升本退役大学生士兵职业适应性综合考查工作，充分保障学生平等受教育的权利、科学选拔人才。　</w:t>
      </w:r>
    </w:p>
    <w:p w14:paraId="4E8ECF4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8" w:lineRule="atLeast"/>
        <w:ind w:left="0" w:right="0" w:firstLine="630"/>
        <w:jc w:val="left"/>
        <w:rPr>
          <w:rFonts w:hint="default" w:ascii="Tahoma" w:hAnsi="Tahoma" w:eastAsia="Tahoma" w:cs="Tahoma"/>
          <w:color w:val="333333"/>
          <w:sz w:val="21"/>
          <w:szCs w:val="21"/>
        </w:rPr>
      </w:pPr>
      <w:r>
        <w:rPr>
          <w:rFonts w:hint="eastAsia" w:ascii="仿宋_GB2312" w:hAnsi="仿宋_GB2312" w:eastAsia="仿宋_GB2312" w:cs="仿宋_GB2312"/>
          <w:i w:val="0"/>
          <w:iCs w:val="0"/>
          <w:caps w:val="0"/>
          <w:color w:val="333333"/>
          <w:spacing w:val="0"/>
          <w:kern w:val="0"/>
          <w:sz w:val="21"/>
          <w:szCs w:val="21"/>
          <w:lang w:val="en-US" w:eastAsia="zh-CN" w:bidi="ar"/>
        </w:rPr>
        <w:t>二、组织机构</w:t>
      </w:r>
    </w:p>
    <w:p w14:paraId="16AA444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8" w:lineRule="atLeast"/>
        <w:ind w:left="0" w:right="0" w:firstLine="630"/>
        <w:jc w:val="left"/>
        <w:rPr>
          <w:rFonts w:hint="default" w:ascii="Tahoma" w:hAnsi="Tahoma" w:eastAsia="Tahoma" w:cs="Tahoma"/>
          <w:color w:val="333333"/>
          <w:sz w:val="21"/>
          <w:szCs w:val="21"/>
        </w:rPr>
      </w:pPr>
      <w:r>
        <w:rPr>
          <w:rFonts w:hint="eastAsia" w:ascii="仿宋_GB2312" w:hAnsi="仿宋_GB2312" w:eastAsia="仿宋_GB2312" w:cs="仿宋_GB2312"/>
          <w:i w:val="0"/>
          <w:iCs w:val="0"/>
          <w:caps w:val="0"/>
          <w:color w:val="333333"/>
          <w:spacing w:val="0"/>
          <w:kern w:val="0"/>
          <w:sz w:val="21"/>
          <w:szCs w:val="21"/>
          <w:lang w:val="en-US" w:eastAsia="zh-CN" w:bidi="ar"/>
        </w:rPr>
        <w:t>本次普通专升本退役大学生士兵招生工作在学校普通专升本工作领导小组领导下开展。按省教育厅要求，为做好退役大学生士兵职业适应性综合考查工作，单独成立职业适应性综合考查工作组，由教务处主要负责人任组长，教务处副处长和马克思主义学院、通识教育学院主要负责人为成员，办公室设在教务处。主要职责是：制定2026年普通专升本退役大学生士兵职业适应性综合考查工作方案，按照方案规定的工作程序开展考查工作。</w:t>
      </w:r>
    </w:p>
    <w:p w14:paraId="6BD32B7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8" w:lineRule="atLeast"/>
        <w:ind w:left="0" w:right="0" w:firstLine="630"/>
        <w:jc w:val="left"/>
        <w:rPr>
          <w:rFonts w:hint="default" w:ascii="Tahoma" w:hAnsi="Tahoma" w:eastAsia="Tahoma" w:cs="Tahoma"/>
          <w:color w:val="333333"/>
          <w:sz w:val="21"/>
          <w:szCs w:val="21"/>
        </w:rPr>
      </w:pPr>
      <w:r>
        <w:rPr>
          <w:rFonts w:hint="eastAsia" w:ascii="仿宋_GB2312" w:hAnsi="仿宋_GB2312" w:eastAsia="仿宋_GB2312" w:cs="仿宋_GB2312"/>
          <w:i w:val="0"/>
          <w:iCs w:val="0"/>
          <w:caps w:val="0"/>
          <w:color w:val="333333"/>
          <w:spacing w:val="0"/>
          <w:kern w:val="0"/>
          <w:sz w:val="21"/>
          <w:szCs w:val="21"/>
          <w:lang w:val="en-US" w:eastAsia="zh-CN" w:bidi="ar"/>
        </w:rPr>
        <w:t>三、招生专业</w:t>
      </w:r>
    </w:p>
    <w:p w14:paraId="52BE7E2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8" w:lineRule="atLeast"/>
        <w:ind w:left="0" w:right="0" w:firstLine="630"/>
        <w:jc w:val="left"/>
        <w:rPr>
          <w:rFonts w:hint="default" w:ascii="Tahoma" w:hAnsi="Tahoma" w:eastAsia="Tahoma" w:cs="Tahoma"/>
          <w:color w:val="333333"/>
          <w:sz w:val="21"/>
          <w:szCs w:val="21"/>
        </w:rPr>
      </w:pPr>
      <w:r>
        <w:rPr>
          <w:rFonts w:hint="eastAsia" w:ascii="仿宋_GB2312" w:hAnsi="仿宋_GB2312" w:eastAsia="仿宋_GB2312" w:cs="仿宋_GB2312"/>
          <w:i w:val="0"/>
          <w:iCs w:val="0"/>
          <w:caps w:val="0"/>
          <w:color w:val="333333"/>
          <w:spacing w:val="0"/>
          <w:kern w:val="0"/>
          <w:sz w:val="21"/>
          <w:szCs w:val="21"/>
          <w:lang w:val="en-US" w:eastAsia="zh-CN" w:bidi="ar"/>
        </w:rPr>
        <w:t>招生专业15个，详见下表。</w:t>
      </w:r>
    </w:p>
    <w:tbl>
      <w:tblPr>
        <w:tblStyle w:val="3"/>
        <w:tblW w:w="4999" w:type="pct"/>
        <w:jc w:val="center"/>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Layout w:type="autofit"/>
        <w:tblCellMar>
          <w:top w:w="0" w:type="dxa"/>
          <w:left w:w="0" w:type="dxa"/>
          <w:bottom w:w="0" w:type="dxa"/>
          <w:right w:w="0" w:type="dxa"/>
        </w:tblCellMar>
      </w:tblPr>
      <w:tblGrid>
        <w:gridCol w:w="1228"/>
        <w:gridCol w:w="3978"/>
        <w:gridCol w:w="2234"/>
        <w:gridCol w:w="1074"/>
      </w:tblGrid>
      <w:tr w14:paraId="0AB30166">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trHeight w:val="495" w:hRule="atLeast"/>
          <w:jc w:val="center"/>
        </w:trPr>
        <w:tc>
          <w:tcPr>
            <w:tcW w:w="721" w:type="pct"/>
            <w:vMerge w:val="restart"/>
            <w:tcBorders>
              <w:top w:val="single" w:color="000000" w:sz="6" w:space="0"/>
              <w:left w:val="single" w:color="000000" w:sz="6" w:space="0"/>
              <w:bottom w:val="single" w:color="000000" w:sz="6" w:space="0"/>
              <w:right w:val="single" w:color="000000" w:sz="6" w:space="0"/>
            </w:tcBorders>
            <w:shd w:val="clear" w:color="auto" w:fill="auto"/>
            <w:tcMar>
              <w:left w:w="105" w:type="dxa"/>
              <w:right w:w="105" w:type="dxa"/>
            </w:tcMar>
            <w:vAlign w:val="center"/>
          </w:tcPr>
          <w:p w14:paraId="4491CDB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8" w:lineRule="atLeast"/>
              <w:ind w:left="0" w:right="0"/>
              <w:jc w:val="center"/>
              <w:rPr>
                <w:rFonts w:hint="default" w:ascii="Tahoma" w:hAnsi="Tahoma" w:eastAsia="Tahoma" w:cs="Tahoma"/>
                <w:color w:val="333333"/>
                <w:sz w:val="21"/>
                <w:szCs w:val="21"/>
              </w:rPr>
            </w:pPr>
            <w:r>
              <w:rPr>
                <w:rStyle w:val="5"/>
                <w:rFonts w:hint="eastAsia" w:ascii="仿宋_GB2312" w:hAnsi="仿宋_GB2312" w:eastAsia="仿宋_GB2312" w:cs="仿宋_GB2312"/>
                <w:color w:val="333333"/>
                <w:kern w:val="0"/>
                <w:sz w:val="21"/>
                <w:szCs w:val="21"/>
                <w:lang w:val="en-US" w:eastAsia="zh-CN" w:bidi="ar"/>
              </w:rPr>
              <w:t>序号</w:t>
            </w:r>
          </w:p>
        </w:tc>
        <w:tc>
          <w:tcPr>
            <w:tcW w:w="2335" w:type="pct"/>
            <w:vMerge w:val="restart"/>
            <w:tcBorders>
              <w:top w:val="single" w:color="000000" w:sz="6" w:space="0"/>
              <w:left w:val="single" w:color="000000" w:sz="6" w:space="0"/>
              <w:bottom w:val="single" w:color="000000" w:sz="6" w:space="0"/>
              <w:right w:val="single" w:color="000000" w:sz="6" w:space="0"/>
            </w:tcBorders>
            <w:shd w:val="clear" w:color="auto" w:fill="auto"/>
            <w:tcMar>
              <w:left w:w="105" w:type="dxa"/>
              <w:right w:w="105" w:type="dxa"/>
            </w:tcMar>
            <w:vAlign w:val="center"/>
          </w:tcPr>
          <w:p w14:paraId="563B5BE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8" w:lineRule="atLeast"/>
              <w:ind w:left="0" w:right="0"/>
              <w:jc w:val="center"/>
              <w:rPr>
                <w:rFonts w:hint="default" w:ascii="Tahoma" w:hAnsi="Tahoma" w:eastAsia="Tahoma" w:cs="Tahoma"/>
                <w:color w:val="333333"/>
                <w:sz w:val="21"/>
                <w:szCs w:val="21"/>
              </w:rPr>
            </w:pPr>
            <w:r>
              <w:rPr>
                <w:rStyle w:val="5"/>
                <w:rFonts w:hint="eastAsia" w:ascii="仿宋_GB2312" w:hAnsi="仿宋_GB2312" w:eastAsia="仿宋_GB2312" w:cs="仿宋_GB2312"/>
                <w:color w:val="333333"/>
                <w:kern w:val="0"/>
                <w:sz w:val="21"/>
                <w:szCs w:val="21"/>
                <w:lang w:val="en-US" w:eastAsia="zh-CN" w:bidi="ar"/>
              </w:rPr>
              <w:t>招生专业</w:t>
            </w:r>
          </w:p>
        </w:tc>
        <w:tc>
          <w:tcPr>
            <w:tcW w:w="1311" w:type="pct"/>
            <w:vMerge w:val="restart"/>
            <w:tcBorders>
              <w:top w:val="single" w:color="000000" w:sz="6" w:space="0"/>
              <w:left w:val="single" w:color="000000" w:sz="6" w:space="0"/>
              <w:bottom w:val="single" w:color="000000" w:sz="6" w:space="0"/>
              <w:right w:val="single" w:color="000000" w:sz="6" w:space="0"/>
            </w:tcBorders>
            <w:shd w:val="clear" w:color="auto" w:fill="auto"/>
            <w:tcMar>
              <w:left w:w="105" w:type="dxa"/>
              <w:right w:w="105" w:type="dxa"/>
            </w:tcMar>
            <w:vAlign w:val="center"/>
          </w:tcPr>
          <w:p w14:paraId="70A4AC14">
            <w:pPr>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68" w:lineRule="atLeast"/>
              <w:ind w:left="0" w:right="0"/>
              <w:jc w:val="center"/>
              <w:rPr>
                <w:rFonts w:hint="default" w:ascii="Tahoma" w:hAnsi="Tahoma" w:eastAsia="Tahoma" w:cs="Tahoma"/>
                <w:color w:val="333333"/>
                <w:sz w:val="21"/>
                <w:szCs w:val="21"/>
              </w:rPr>
            </w:pPr>
            <w:r>
              <w:rPr>
                <w:rStyle w:val="5"/>
                <w:rFonts w:hint="eastAsia" w:ascii="仿宋_GB2312" w:hAnsi="仿宋_GB2312" w:eastAsia="仿宋_GB2312" w:cs="仿宋_GB2312"/>
                <w:color w:val="333333"/>
                <w:kern w:val="0"/>
                <w:sz w:val="21"/>
                <w:szCs w:val="21"/>
                <w:lang w:val="en-US" w:eastAsia="zh-CN" w:bidi="ar"/>
              </w:rPr>
              <w:t>专业代码</w:t>
            </w:r>
          </w:p>
        </w:tc>
        <w:tc>
          <w:tcPr>
            <w:tcW w:w="630" w:type="pct"/>
            <w:vMerge w:val="restart"/>
            <w:tcBorders>
              <w:top w:val="single" w:color="000000" w:sz="6" w:space="0"/>
              <w:left w:val="single" w:color="000000" w:sz="6" w:space="0"/>
              <w:bottom w:val="single" w:color="000000" w:sz="6" w:space="0"/>
              <w:right w:val="single" w:color="000000" w:sz="6" w:space="0"/>
            </w:tcBorders>
            <w:shd w:val="clear" w:color="auto" w:fill="auto"/>
            <w:tcMar>
              <w:left w:w="105" w:type="dxa"/>
              <w:right w:w="105" w:type="dxa"/>
            </w:tcMar>
            <w:vAlign w:val="center"/>
          </w:tcPr>
          <w:p w14:paraId="5DA5974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8" w:lineRule="atLeast"/>
              <w:ind w:left="0" w:right="0"/>
              <w:jc w:val="center"/>
              <w:rPr>
                <w:rFonts w:hint="default" w:ascii="Tahoma" w:hAnsi="Tahoma" w:eastAsia="Tahoma" w:cs="Tahoma"/>
                <w:color w:val="333333"/>
                <w:sz w:val="21"/>
                <w:szCs w:val="21"/>
              </w:rPr>
            </w:pPr>
            <w:r>
              <w:rPr>
                <w:rStyle w:val="5"/>
                <w:rFonts w:hint="eastAsia" w:ascii="仿宋_GB2312" w:hAnsi="仿宋_GB2312" w:eastAsia="仿宋_GB2312" w:cs="仿宋_GB2312"/>
                <w:color w:val="333333"/>
                <w:kern w:val="0"/>
                <w:sz w:val="21"/>
                <w:szCs w:val="21"/>
                <w:lang w:val="en-US" w:eastAsia="zh-CN" w:bidi="ar"/>
              </w:rPr>
              <w:t>学制</w:t>
            </w:r>
          </w:p>
        </w:tc>
      </w:tr>
      <w:tr w14:paraId="7780C13E">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315" w:hRule="atLeast"/>
          <w:jc w:val="center"/>
        </w:trPr>
        <w:tc>
          <w:tcPr>
            <w:tcW w:w="721" w:type="pct"/>
            <w:vMerge w:val="continue"/>
            <w:tcBorders>
              <w:top w:val="single" w:color="000000" w:sz="6" w:space="0"/>
              <w:left w:val="single" w:color="000000" w:sz="6" w:space="0"/>
              <w:bottom w:val="single" w:color="000000" w:sz="6" w:space="0"/>
              <w:right w:val="single" w:color="000000" w:sz="6" w:space="0"/>
            </w:tcBorders>
            <w:shd w:val="clear" w:color="auto" w:fill="auto"/>
            <w:tcMar>
              <w:left w:w="105" w:type="dxa"/>
              <w:right w:w="105" w:type="dxa"/>
            </w:tcMar>
            <w:vAlign w:val="center"/>
          </w:tcPr>
          <w:p w14:paraId="246612CE">
            <w:pPr>
              <w:rPr>
                <w:rFonts w:hint="eastAsia" w:ascii="宋体"/>
                <w:sz w:val="21"/>
                <w:szCs w:val="21"/>
              </w:rPr>
            </w:pPr>
          </w:p>
        </w:tc>
        <w:tc>
          <w:tcPr>
            <w:tcW w:w="2335" w:type="pct"/>
            <w:vMerge w:val="continue"/>
            <w:tcBorders>
              <w:top w:val="single" w:color="000000" w:sz="6" w:space="0"/>
              <w:left w:val="single" w:color="000000" w:sz="6" w:space="0"/>
              <w:bottom w:val="single" w:color="000000" w:sz="6" w:space="0"/>
              <w:right w:val="single" w:color="000000" w:sz="6" w:space="0"/>
            </w:tcBorders>
            <w:shd w:val="clear" w:color="auto" w:fill="auto"/>
            <w:tcMar>
              <w:left w:w="105" w:type="dxa"/>
              <w:right w:w="105" w:type="dxa"/>
            </w:tcMar>
            <w:vAlign w:val="center"/>
          </w:tcPr>
          <w:p w14:paraId="19EAC676">
            <w:pPr>
              <w:rPr>
                <w:rFonts w:hint="eastAsia" w:ascii="宋体"/>
                <w:sz w:val="21"/>
                <w:szCs w:val="21"/>
              </w:rPr>
            </w:pPr>
          </w:p>
        </w:tc>
        <w:tc>
          <w:tcPr>
            <w:tcW w:w="1311" w:type="pct"/>
            <w:vMerge w:val="continue"/>
            <w:tcBorders>
              <w:top w:val="single" w:color="000000" w:sz="6" w:space="0"/>
              <w:left w:val="single" w:color="000000" w:sz="6" w:space="0"/>
              <w:bottom w:val="single" w:color="000000" w:sz="6" w:space="0"/>
              <w:right w:val="single" w:color="000000" w:sz="6" w:space="0"/>
            </w:tcBorders>
            <w:shd w:val="clear" w:color="auto" w:fill="auto"/>
            <w:tcMar>
              <w:left w:w="105" w:type="dxa"/>
              <w:right w:w="105" w:type="dxa"/>
            </w:tcMar>
            <w:vAlign w:val="center"/>
          </w:tcPr>
          <w:p w14:paraId="28EB503A">
            <w:pPr>
              <w:rPr>
                <w:rFonts w:hint="eastAsia" w:ascii="宋体"/>
                <w:sz w:val="21"/>
                <w:szCs w:val="21"/>
              </w:rPr>
            </w:pPr>
          </w:p>
        </w:tc>
        <w:tc>
          <w:tcPr>
            <w:tcW w:w="630" w:type="pct"/>
            <w:vMerge w:val="continue"/>
            <w:tcBorders>
              <w:top w:val="single" w:color="000000" w:sz="6" w:space="0"/>
              <w:left w:val="single" w:color="000000" w:sz="6" w:space="0"/>
              <w:bottom w:val="single" w:color="000000" w:sz="6" w:space="0"/>
              <w:right w:val="single" w:color="000000" w:sz="6" w:space="0"/>
            </w:tcBorders>
            <w:shd w:val="clear" w:color="auto" w:fill="auto"/>
            <w:tcMar>
              <w:left w:w="105" w:type="dxa"/>
              <w:right w:w="105" w:type="dxa"/>
            </w:tcMar>
            <w:vAlign w:val="center"/>
          </w:tcPr>
          <w:p w14:paraId="32AF470A">
            <w:pPr>
              <w:rPr>
                <w:rFonts w:hint="eastAsia" w:ascii="宋体"/>
                <w:sz w:val="21"/>
                <w:szCs w:val="21"/>
              </w:rPr>
            </w:pPr>
          </w:p>
        </w:tc>
      </w:tr>
      <w:tr w14:paraId="7728AC0E">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510" w:hRule="atLeast"/>
          <w:jc w:val="center"/>
        </w:trPr>
        <w:tc>
          <w:tcPr>
            <w:tcW w:w="721" w:type="pct"/>
            <w:tcBorders>
              <w:top w:val="nil"/>
              <w:left w:val="single" w:color="000000" w:sz="6" w:space="0"/>
              <w:bottom w:val="single" w:color="000000" w:sz="6" w:space="0"/>
              <w:right w:val="single" w:color="000000" w:sz="6" w:space="0"/>
            </w:tcBorders>
            <w:shd w:val="clear" w:color="auto" w:fill="auto"/>
            <w:tcMar>
              <w:left w:w="105" w:type="dxa"/>
              <w:right w:w="105" w:type="dxa"/>
            </w:tcMar>
            <w:vAlign w:val="center"/>
          </w:tcPr>
          <w:p w14:paraId="7FE8876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8" w:lineRule="atLeast"/>
              <w:ind w:left="0" w:right="0"/>
              <w:jc w:val="center"/>
              <w:rPr>
                <w:rFonts w:hint="default" w:ascii="Tahoma" w:hAnsi="Tahoma" w:eastAsia="Tahoma" w:cs="Tahoma"/>
                <w:color w:val="333333"/>
                <w:sz w:val="21"/>
                <w:szCs w:val="21"/>
              </w:rPr>
            </w:pPr>
            <w:r>
              <w:rPr>
                <w:rFonts w:hint="eastAsia" w:ascii="仿宋_GB2312" w:hAnsi="仿宋_GB2312" w:eastAsia="仿宋_GB2312" w:cs="仿宋_GB2312"/>
                <w:color w:val="333333"/>
                <w:kern w:val="0"/>
                <w:sz w:val="21"/>
                <w:szCs w:val="21"/>
                <w:lang w:val="en-US" w:eastAsia="zh-CN" w:bidi="ar"/>
              </w:rPr>
              <w:t>1</w:t>
            </w:r>
          </w:p>
        </w:tc>
        <w:tc>
          <w:tcPr>
            <w:tcW w:w="2335" w:type="pct"/>
            <w:tcBorders>
              <w:top w:val="nil"/>
              <w:left w:val="single" w:color="000000" w:sz="6" w:space="0"/>
              <w:bottom w:val="single" w:color="000000" w:sz="6" w:space="0"/>
              <w:right w:val="single" w:color="000000" w:sz="6" w:space="0"/>
            </w:tcBorders>
            <w:shd w:val="clear" w:color="auto" w:fill="auto"/>
            <w:tcMar>
              <w:left w:w="105" w:type="dxa"/>
              <w:right w:w="105" w:type="dxa"/>
            </w:tcMar>
            <w:vAlign w:val="center"/>
          </w:tcPr>
          <w:p w14:paraId="2F580B3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8" w:lineRule="atLeast"/>
              <w:ind w:left="0" w:right="0"/>
              <w:jc w:val="center"/>
              <w:textAlignment w:val="center"/>
              <w:rPr>
                <w:rFonts w:hint="default" w:ascii="Tahoma" w:hAnsi="Tahoma" w:eastAsia="Tahoma" w:cs="Tahoma"/>
                <w:color w:val="333333"/>
                <w:sz w:val="21"/>
                <w:szCs w:val="21"/>
              </w:rPr>
            </w:pPr>
            <w:r>
              <w:rPr>
                <w:rFonts w:hint="eastAsia" w:ascii="仿宋_GB2312" w:hAnsi="仿宋_GB2312" w:eastAsia="仿宋_GB2312" w:cs="仿宋_GB2312"/>
                <w:color w:val="333333"/>
                <w:kern w:val="0"/>
                <w:sz w:val="21"/>
                <w:szCs w:val="21"/>
                <w:lang w:val="en-US" w:eastAsia="zh-CN" w:bidi="ar"/>
              </w:rPr>
              <w:t>软件工程</w:t>
            </w:r>
          </w:p>
        </w:tc>
        <w:tc>
          <w:tcPr>
            <w:tcW w:w="1311" w:type="pct"/>
            <w:tcBorders>
              <w:top w:val="nil"/>
              <w:left w:val="single" w:color="000000" w:sz="6" w:space="0"/>
              <w:bottom w:val="single" w:color="000000" w:sz="6" w:space="0"/>
              <w:right w:val="single" w:color="000000" w:sz="6" w:space="0"/>
            </w:tcBorders>
            <w:shd w:val="clear" w:color="auto" w:fill="auto"/>
            <w:tcMar>
              <w:left w:w="105" w:type="dxa"/>
              <w:right w:w="105" w:type="dxa"/>
            </w:tcMar>
            <w:vAlign w:val="center"/>
          </w:tcPr>
          <w:p w14:paraId="06D0211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8" w:lineRule="atLeast"/>
              <w:ind w:left="0" w:right="0"/>
              <w:jc w:val="center"/>
              <w:textAlignment w:val="center"/>
              <w:rPr>
                <w:rFonts w:hint="default" w:ascii="Tahoma" w:hAnsi="Tahoma" w:eastAsia="Tahoma" w:cs="Tahoma"/>
                <w:color w:val="333333"/>
                <w:sz w:val="21"/>
                <w:szCs w:val="21"/>
              </w:rPr>
            </w:pPr>
            <w:r>
              <w:rPr>
                <w:rFonts w:hint="eastAsia" w:ascii="仿宋_GB2312" w:hAnsi="仿宋_GB2312" w:eastAsia="仿宋_GB2312" w:cs="仿宋_GB2312"/>
                <w:color w:val="333333"/>
                <w:kern w:val="0"/>
                <w:sz w:val="21"/>
                <w:szCs w:val="21"/>
                <w:lang w:val="en-US" w:eastAsia="zh-CN" w:bidi="ar"/>
              </w:rPr>
              <w:t>080902</w:t>
            </w:r>
          </w:p>
        </w:tc>
        <w:tc>
          <w:tcPr>
            <w:tcW w:w="630" w:type="pct"/>
            <w:tcBorders>
              <w:top w:val="nil"/>
              <w:left w:val="single" w:color="000000" w:sz="6" w:space="0"/>
              <w:bottom w:val="single" w:color="000000" w:sz="6" w:space="0"/>
              <w:right w:val="single" w:color="000000" w:sz="6" w:space="0"/>
            </w:tcBorders>
            <w:shd w:val="clear" w:color="auto" w:fill="auto"/>
            <w:tcMar>
              <w:left w:w="105" w:type="dxa"/>
              <w:right w:w="105" w:type="dxa"/>
            </w:tcMar>
            <w:vAlign w:val="center"/>
          </w:tcPr>
          <w:p w14:paraId="5862AB7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8" w:lineRule="atLeast"/>
              <w:ind w:left="0" w:right="0"/>
              <w:jc w:val="center"/>
              <w:textAlignment w:val="center"/>
              <w:rPr>
                <w:rFonts w:hint="default" w:ascii="Tahoma" w:hAnsi="Tahoma" w:eastAsia="Tahoma" w:cs="Tahoma"/>
                <w:color w:val="333333"/>
                <w:sz w:val="21"/>
                <w:szCs w:val="21"/>
              </w:rPr>
            </w:pPr>
            <w:r>
              <w:rPr>
                <w:rFonts w:hint="eastAsia" w:ascii="仿宋_GB2312" w:hAnsi="仿宋_GB2312" w:eastAsia="仿宋_GB2312" w:cs="仿宋_GB2312"/>
                <w:color w:val="333333"/>
                <w:kern w:val="0"/>
                <w:sz w:val="21"/>
                <w:szCs w:val="21"/>
                <w:lang w:val="en-US" w:eastAsia="zh-CN" w:bidi="ar"/>
              </w:rPr>
              <w:t>2</w:t>
            </w:r>
          </w:p>
        </w:tc>
      </w:tr>
      <w:tr w14:paraId="53C0E5CE">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510" w:hRule="atLeast"/>
          <w:jc w:val="center"/>
        </w:trPr>
        <w:tc>
          <w:tcPr>
            <w:tcW w:w="721" w:type="pct"/>
            <w:tcBorders>
              <w:top w:val="nil"/>
              <w:left w:val="single" w:color="000000" w:sz="6" w:space="0"/>
              <w:bottom w:val="single" w:color="000000" w:sz="6" w:space="0"/>
              <w:right w:val="single" w:color="000000" w:sz="6" w:space="0"/>
            </w:tcBorders>
            <w:shd w:val="clear" w:color="auto" w:fill="auto"/>
            <w:tcMar>
              <w:left w:w="105" w:type="dxa"/>
              <w:right w:w="105" w:type="dxa"/>
            </w:tcMar>
            <w:vAlign w:val="center"/>
          </w:tcPr>
          <w:p w14:paraId="24BE3E9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8" w:lineRule="atLeast"/>
              <w:ind w:left="0" w:right="0"/>
              <w:jc w:val="center"/>
              <w:rPr>
                <w:rFonts w:hint="default" w:ascii="Tahoma" w:hAnsi="Tahoma" w:eastAsia="Tahoma" w:cs="Tahoma"/>
                <w:color w:val="333333"/>
                <w:sz w:val="21"/>
                <w:szCs w:val="21"/>
              </w:rPr>
            </w:pPr>
            <w:r>
              <w:rPr>
                <w:rFonts w:hint="eastAsia" w:ascii="仿宋_GB2312" w:hAnsi="仿宋_GB2312" w:eastAsia="仿宋_GB2312" w:cs="仿宋_GB2312"/>
                <w:color w:val="333333"/>
                <w:kern w:val="0"/>
                <w:sz w:val="21"/>
                <w:szCs w:val="21"/>
                <w:lang w:val="en-US" w:eastAsia="zh-CN" w:bidi="ar"/>
              </w:rPr>
              <w:t>2</w:t>
            </w:r>
          </w:p>
        </w:tc>
        <w:tc>
          <w:tcPr>
            <w:tcW w:w="2335" w:type="pct"/>
            <w:tcBorders>
              <w:top w:val="nil"/>
              <w:left w:val="single" w:color="000000" w:sz="6" w:space="0"/>
              <w:bottom w:val="single" w:color="000000" w:sz="6" w:space="0"/>
              <w:right w:val="single" w:color="000000" w:sz="6" w:space="0"/>
            </w:tcBorders>
            <w:shd w:val="clear" w:color="auto" w:fill="auto"/>
            <w:tcMar>
              <w:left w:w="105" w:type="dxa"/>
              <w:right w:w="105" w:type="dxa"/>
            </w:tcMar>
            <w:vAlign w:val="center"/>
          </w:tcPr>
          <w:p w14:paraId="2BE1B88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8" w:lineRule="atLeast"/>
              <w:ind w:left="0" w:right="0"/>
              <w:jc w:val="center"/>
              <w:textAlignment w:val="center"/>
              <w:rPr>
                <w:rFonts w:hint="default" w:ascii="Tahoma" w:hAnsi="Tahoma" w:eastAsia="Tahoma" w:cs="Tahoma"/>
                <w:color w:val="333333"/>
                <w:sz w:val="21"/>
                <w:szCs w:val="21"/>
              </w:rPr>
            </w:pPr>
            <w:r>
              <w:rPr>
                <w:rFonts w:hint="eastAsia" w:ascii="仿宋_GB2312" w:hAnsi="仿宋_GB2312" w:eastAsia="仿宋_GB2312" w:cs="仿宋_GB2312"/>
                <w:color w:val="333333"/>
                <w:kern w:val="0"/>
                <w:sz w:val="21"/>
                <w:szCs w:val="21"/>
                <w:lang w:val="en-US" w:eastAsia="zh-CN" w:bidi="ar"/>
              </w:rPr>
              <w:t>物联网工程</w:t>
            </w:r>
          </w:p>
        </w:tc>
        <w:tc>
          <w:tcPr>
            <w:tcW w:w="1311" w:type="pct"/>
            <w:tcBorders>
              <w:top w:val="nil"/>
              <w:left w:val="single" w:color="000000" w:sz="6" w:space="0"/>
              <w:bottom w:val="single" w:color="000000" w:sz="6" w:space="0"/>
              <w:right w:val="single" w:color="000000" w:sz="6" w:space="0"/>
            </w:tcBorders>
            <w:shd w:val="clear" w:color="auto" w:fill="auto"/>
            <w:tcMar>
              <w:left w:w="105" w:type="dxa"/>
              <w:right w:w="105" w:type="dxa"/>
            </w:tcMar>
            <w:vAlign w:val="center"/>
          </w:tcPr>
          <w:p w14:paraId="73B4356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8" w:lineRule="atLeast"/>
              <w:ind w:left="0" w:right="0"/>
              <w:jc w:val="center"/>
              <w:textAlignment w:val="center"/>
              <w:rPr>
                <w:rFonts w:hint="default" w:ascii="Tahoma" w:hAnsi="Tahoma" w:eastAsia="Tahoma" w:cs="Tahoma"/>
                <w:color w:val="333333"/>
                <w:sz w:val="21"/>
                <w:szCs w:val="21"/>
              </w:rPr>
            </w:pPr>
            <w:r>
              <w:rPr>
                <w:rFonts w:hint="eastAsia" w:ascii="仿宋_GB2312" w:hAnsi="仿宋_GB2312" w:eastAsia="仿宋_GB2312" w:cs="仿宋_GB2312"/>
                <w:color w:val="333333"/>
                <w:kern w:val="0"/>
                <w:sz w:val="21"/>
                <w:szCs w:val="21"/>
                <w:lang w:val="en-US" w:eastAsia="zh-CN" w:bidi="ar"/>
              </w:rPr>
              <w:t>080905</w:t>
            </w:r>
          </w:p>
        </w:tc>
        <w:tc>
          <w:tcPr>
            <w:tcW w:w="630" w:type="pct"/>
            <w:tcBorders>
              <w:top w:val="nil"/>
              <w:left w:val="single" w:color="000000" w:sz="6" w:space="0"/>
              <w:bottom w:val="single" w:color="000000" w:sz="6" w:space="0"/>
              <w:right w:val="single" w:color="000000" w:sz="6" w:space="0"/>
            </w:tcBorders>
            <w:shd w:val="clear" w:color="auto" w:fill="auto"/>
            <w:tcMar>
              <w:left w:w="105" w:type="dxa"/>
              <w:right w:w="105" w:type="dxa"/>
            </w:tcMar>
            <w:vAlign w:val="center"/>
          </w:tcPr>
          <w:p w14:paraId="01CDAE4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8" w:lineRule="atLeast"/>
              <w:ind w:left="0" w:right="0"/>
              <w:jc w:val="center"/>
              <w:textAlignment w:val="center"/>
              <w:rPr>
                <w:rFonts w:hint="default" w:ascii="Tahoma" w:hAnsi="Tahoma" w:eastAsia="Tahoma" w:cs="Tahoma"/>
                <w:color w:val="333333"/>
                <w:sz w:val="21"/>
                <w:szCs w:val="21"/>
              </w:rPr>
            </w:pPr>
            <w:r>
              <w:rPr>
                <w:rFonts w:hint="eastAsia" w:ascii="仿宋_GB2312" w:hAnsi="仿宋_GB2312" w:eastAsia="仿宋_GB2312" w:cs="仿宋_GB2312"/>
                <w:color w:val="333333"/>
                <w:kern w:val="0"/>
                <w:sz w:val="21"/>
                <w:szCs w:val="21"/>
                <w:lang w:val="en-US" w:eastAsia="zh-CN" w:bidi="ar"/>
              </w:rPr>
              <w:t>2</w:t>
            </w:r>
          </w:p>
        </w:tc>
      </w:tr>
      <w:tr w14:paraId="4D25F7E3">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510" w:hRule="atLeast"/>
          <w:jc w:val="center"/>
        </w:trPr>
        <w:tc>
          <w:tcPr>
            <w:tcW w:w="721" w:type="pct"/>
            <w:tcBorders>
              <w:top w:val="nil"/>
              <w:left w:val="single" w:color="000000" w:sz="6" w:space="0"/>
              <w:bottom w:val="single" w:color="000000" w:sz="6" w:space="0"/>
              <w:right w:val="single" w:color="000000" w:sz="6" w:space="0"/>
            </w:tcBorders>
            <w:shd w:val="clear" w:color="auto" w:fill="auto"/>
            <w:tcMar>
              <w:left w:w="105" w:type="dxa"/>
              <w:right w:w="105" w:type="dxa"/>
            </w:tcMar>
            <w:vAlign w:val="center"/>
          </w:tcPr>
          <w:p w14:paraId="35432D0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8" w:lineRule="atLeast"/>
              <w:ind w:left="0" w:right="0"/>
              <w:jc w:val="center"/>
              <w:rPr>
                <w:rFonts w:hint="default" w:ascii="Tahoma" w:hAnsi="Tahoma" w:eastAsia="Tahoma" w:cs="Tahoma"/>
                <w:color w:val="333333"/>
                <w:sz w:val="21"/>
                <w:szCs w:val="21"/>
              </w:rPr>
            </w:pPr>
            <w:r>
              <w:rPr>
                <w:rFonts w:hint="eastAsia" w:ascii="仿宋_GB2312" w:hAnsi="仿宋_GB2312" w:eastAsia="仿宋_GB2312" w:cs="仿宋_GB2312"/>
                <w:color w:val="333333"/>
                <w:kern w:val="0"/>
                <w:sz w:val="21"/>
                <w:szCs w:val="21"/>
                <w:lang w:val="en-US" w:eastAsia="zh-CN" w:bidi="ar"/>
              </w:rPr>
              <w:t>3</w:t>
            </w:r>
          </w:p>
        </w:tc>
        <w:tc>
          <w:tcPr>
            <w:tcW w:w="2335" w:type="pct"/>
            <w:tcBorders>
              <w:top w:val="nil"/>
              <w:left w:val="single" w:color="000000" w:sz="6" w:space="0"/>
              <w:bottom w:val="single" w:color="000000" w:sz="6" w:space="0"/>
              <w:right w:val="single" w:color="000000" w:sz="6" w:space="0"/>
            </w:tcBorders>
            <w:shd w:val="clear" w:color="auto" w:fill="auto"/>
            <w:tcMar>
              <w:left w:w="105" w:type="dxa"/>
              <w:right w:w="105" w:type="dxa"/>
            </w:tcMar>
            <w:vAlign w:val="center"/>
          </w:tcPr>
          <w:p w14:paraId="7080F70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8" w:lineRule="atLeast"/>
              <w:ind w:left="0" w:right="0"/>
              <w:jc w:val="center"/>
              <w:textAlignment w:val="center"/>
              <w:rPr>
                <w:rFonts w:hint="default" w:ascii="Tahoma" w:hAnsi="Tahoma" w:eastAsia="Tahoma" w:cs="Tahoma"/>
                <w:color w:val="333333"/>
                <w:sz w:val="21"/>
                <w:szCs w:val="21"/>
              </w:rPr>
            </w:pPr>
            <w:r>
              <w:rPr>
                <w:rFonts w:hint="eastAsia" w:ascii="仿宋_GB2312" w:hAnsi="仿宋_GB2312" w:eastAsia="仿宋_GB2312" w:cs="仿宋_GB2312"/>
                <w:color w:val="333333"/>
                <w:kern w:val="0"/>
                <w:sz w:val="21"/>
                <w:szCs w:val="21"/>
                <w:lang w:val="en-US" w:eastAsia="zh-CN" w:bidi="ar"/>
              </w:rPr>
              <w:t>建筑环境与能源应用工程</w:t>
            </w:r>
          </w:p>
        </w:tc>
        <w:tc>
          <w:tcPr>
            <w:tcW w:w="1311" w:type="pct"/>
            <w:tcBorders>
              <w:top w:val="nil"/>
              <w:left w:val="single" w:color="000000" w:sz="6" w:space="0"/>
              <w:bottom w:val="single" w:color="000000" w:sz="6" w:space="0"/>
              <w:right w:val="single" w:color="000000" w:sz="6" w:space="0"/>
            </w:tcBorders>
            <w:shd w:val="clear" w:color="auto" w:fill="auto"/>
            <w:tcMar>
              <w:left w:w="105" w:type="dxa"/>
              <w:right w:w="105" w:type="dxa"/>
            </w:tcMar>
            <w:vAlign w:val="center"/>
          </w:tcPr>
          <w:p w14:paraId="39F8B3F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8" w:lineRule="atLeast"/>
              <w:ind w:left="0" w:right="0"/>
              <w:jc w:val="center"/>
              <w:textAlignment w:val="center"/>
              <w:rPr>
                <w:rFonts w:hint="default" w:ascii="Tahoma" w:hAnsi="Tahoma" w:eastAsia="Tahoma" w:cs="Tahoma"/>
                <w:color w:val="333333"/>
                <w:sz w:val="21"/>
                <w:szCs w:val="21"/>
              </w:rPr>
            </w:pPr>
            <w:r>
              <w:rPr>
                <w:rFonts w:hint="eastAsia" w:ascii="仿宋_GB2312" w:hAnsi="仿宋_GB2312" w:eastAsia="仿宋_GB2312" w:cs="仿宋_GB2312"/>
                <w:color w:val="333333"/>
                <w:kern w:val="0"/>
                <w:sz w:val="21"/>
                <w:szCs w:val="21"/>
                <w:lang w:val="en-US" w:eastAsia="zh-CN" w:bidi="ar"/>
              </w:rPr>
              <w:t>081002</w:t>
            </w:r>
          </w:p>
        </w:tc>
        <w:tc>
          <w:tcPr>
            <w:tcW w:w="630" w:type="pct"/>
            <w:tcBorders>
              <w:top w:val="nil"/>
              <w:left w:val="single" w:color="000000" w:sz="6" w:space="0"/>
              <w:bottom w:val="single" w:color="000000" w:sz="6" w:space="0"/>
              <w:right w:val="single" w:color="000000" w:sz="6" w:space="0"/>
            </w:tcBorders>
            <w:shd w:val="clear" w:color="auto" w:fill="auto"/>
            <w:tcMar>
              <w:left w:w="105" w:type="dxa"/>
              <w:right w:w="105" w:type="dxa"/>
            </w:tcMar>
            <w:vAlign w:val="center"/>
          </w:tcPr>
          <w:p w14:paraId="27EF124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8" w:lineRule="atLeast"/>
              <w:ind w:left="0" w:right="0"/>
              <w:jc w:val="center"/>
              <w:textAlignment w:val="center"/>
              <w:rPr>
                <w:rFonts w:hint="default" w:ascii="Tahoma" w:hAnsi="Tahoma" w:eastAsia="Tahoma" w:cs="Tahoma"/>
                <w:color w:val="333333"/>
                <w:sz w:val="21"/>
                <w:szCs w:val="21"/>
              </w:rPr>
            </w:pPr>
            <w:r>
              <w:rPr>
                <w:rFonts w:hint="eastAsia" w:ascii="仿宋_GB2312" w:hAnsi="仿宋_GB2312" w:eastAsia="仿宋_GB2312" w:cs="仿宋_GB2312"/>
                <w:color w:val="333333"/>
                <w:kern w:val="0"/>
                <w:sz w:val="21"/>
                <w:szCs w:val="21"/>
                <w:lang w:val="en-US" w:eastAsia="zh-CN" w:bidi="ar"/>
              </w:rPr>
              <w:t>2</w:t>
            </w:r>
          </w:p>
        </w:tc>
      </w:tr>
      <w:tr w14:paraId="74B5401A">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510" w:hRule="atLeast"/>
          <w:jc w:val="center"/>
        </w:trPr>
        <w:tc>
          <w:tcPr>
            <w:tcW w:w="721" w:type="pct"/>
            <w:tcBorders>
              <w:top w:val="nil"/>
              <w:left w:val="single" w:color="000000" w:sz="6" w:space="0"/>
              <w:bottom w:val="single" w:color="000000" w:sz="6" w:space="0"/>
              <w:right w:val="single" w:color="000000" w:sz="6" w:space="0"/>
            </w:tcBorders>
            <w:shd w:val="clear" w:color="auto" w:fill="auto"/>
            <w:tcMar>
              <w:left w:w="105" w:type="dxa"/>
              <w:right w:w="105" w:type="dxa"/>
            </w:tcMar>
            <w:vAlign w:val="center"/>
          </w:tcPr>
          <w:p w14:paraId="384732D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8" w:lineRule="atLeast"/>
              <w:ind w:left="0" w:right="0"/>
              <w:jc w:val="center"/>
              <w:rPr>
                <w:rFonts w:hint="default" w:ascii="Tahoma" w:hAnsi="Tahoma" w:eastAsia="Tahoma" w:cs="Tahoma"/>
                <w:color w:val="333333"/>
                <w:sz w:val="21"/>
                <w:szCs w:val="21"/>
              </w:rPr>
            </w:pPr>
            <w:r>
              <w:rPr>
                <w:rFonts w:hint="eastAsia" w:ascii="仿宋_GB2312" w:hAnsi="仿宋_GB2312" w:eastAsia="仿宋_GB2312" w:cs="仿宋_GB2312"/>
                <w:color w:val="333333"/>
                <w:kern w:val="0"/>
                <w:sz w:val="21"/>
                <w:szCs w:val="21"/>
                <w:lang w:val="en-US" w:eastAsia="zh-CN" w:bidi="ar"/>
              </w:rPr>
              <w:t>4</w:t>
            </w:r>
          </w:p>
        </w:tc>
        <w:tc>
          <w:tcPr>
            <w:tcW w:w="2335" w:type="pct"/>
            <w:tcBorders>
              <w:top w:val="nil"/>
              <w:left w:val="single" w:color="000000" w:sz="6" w:space="0"/>
              <w:bottom w:val="single" w:color="000000" w:sz="6" w:space="0"/>
              <w:right w:val="single" w:color="000000" w:sz="6" w:space="0"/>
            </w:tcBorders>
            <w:shd w:val="clear" w:color="auto" w:fill="auto"/>
            <w:tcMar>
              <w:left w:w="105" w:type="dxa"/>
              <w:right w:w="105" w:type="dxa"/>
            </w:tcMar>
            <w:vAlign w:val="center"/>
          </w:tcPr>
          <w:p w14:paraId="0D11FF7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8" w:lineRule="atLeast"/>
              <w:ind w:left="0" w:right="0"/>
              <w:jc w:val="center"/>
              <w:textAlignment w:val="center"/>
              <w:rPr>
                <w:rFonts w:hint="default" w:ascii="Tahoma" w:hAnsi="Tahoma" w:eastAsia="Tahoma" w:cs="Tahoma"/>
                <w:color w:val="333333"/>
                <w:sz w:val="21"/>
                <w:szCs w:val="21"/>
              </w:rPr>
            </w:pPr>
            <w:r>
              <w:rPr>
                <w:rFonts w:hint="eastAsia" w:ascii="仿宋_GB2312" w:hAnsi="仿宋_GB2312" w:eastAsia="仿宋_GB2312" w:cs="仿宋_GB2312"/>
                <w:color w:val="333333"/>
                <w:kern w:val="0"/>
                <w:sz w:val="21"/>
                <w:szCs w:val="21"/>
                <w:lang w:val="en-US" w:eastAsia="zh-CN" w:bidi="ar"/>
              </w:rPr>
              <w:t>食品质量与安全</w:t>
            </w:r>
          </w:p>
        </w:tc>
        <w:tc>
          <w:tcPr>
            <w:tcW w:w="1311" w:type="pct"/>
            <w:tcBorders>
              <w:top w:val="nil"/>
              <w:left w:val="single" w:color="000000" w:sz="6" w:space="0"/>
              <w:bottom w:val="single" w:color="000000" w:sz="6" w:space="0"/>
              <w:right w:val="single" w:color="000000" w:sz="6" w:space="0"/>
            </w:tcBorders>
            <w:shd w:val="clear" w:color="auto" w:fill="auto"/>
            <w:tcMar>
              <w:left w:w="105" w:type="dxa"/>
              <w:right w:w="105" w:type="dxa"/>
            </w:tcMar>
            <w:vAlign w:val="center"/>
          </w:tcPr>
          <w:p w14:paraId="28619B4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8" w:lineRule="atLeast"/>
              <w:ind w:left="0" w:right="0"/>
              <w:jc w:val="center"/>
              <w:textAlignment w:val="center"/>
              <w:rPr>
                <w:rFonts w:hint="default" w:ascii="Tahoma" w:hAnsi="Tahoma" w:eastAsia="Tahoma" w:cs="Tahoma"/>
                <w:color w:val="333333"/>
                <w:sz w:val="21"/>
                <w:szCs w:val="21"/>
              </w:rPr>
            </w:pPr>
            <w:r>
              <w:rPr>
                <w:rFonts w:hint="eastAsia" w:ascii="仿宋_GB2312" w:hAnsi="仿宋_GB2312" w:eastAsia="仿宋_GB2312" w:cs="仿宋_GB2312"/>
                <w:color w:val="333333"/>
                <w:kern w:val="0"/>
                <w:sz w:val="21"/>
                <w:szCs w:val="21"/>
                <w:lang w:val="en-US" w:eastAsia="zh-CN" w:bidi="ar"/>
              </w:rPr>
              <w:t>082702</w:t>
            </w:r>
          </w:p>
        </w:tc>
        <w:tc>
          <w:tcPr>
            <w:tcW w:w="630" w:type="pct"/>
            <w:tcBorders>
              <w:top w:val="nil"/>
              <w:left w:val="single" w:color="000000" w:sz="6" w:space="0"/>
              <w:bottom w:val="single" w:color="000000" w:sz="6" w:space="0"/>
              <w:right w:val="single" w:color="000000" w:sz="6" w:space="0"/>
            </w:tcBorders>
            <w:shd w:val="clear" w:color="auto" w:fill="auto"/>
            <w:tcMar>
              <w:left w:w="105" w:type="dxa"/>
              <w:right w:w="105" w:type="dxa"/>
            </w:tcMar>
            <w:vAlign w:val="center"/>
          </w:tcPr>
          <w:p w14:paraId="2AC7D8E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8" w:lineRule="atLeast"/>
              <w:ind w:left="0" w:right="0"/>
              <w:jc w:val="center"/>
              <w:textAlignment w:val="center"/>
              <w:rPr>
                <w:rFonts w:hint="default" w:ascii="Tahoma" w:hAnsi="Tahoma" w:eastAsia="Tahoma" w:cs="Tahoma"/>
                <w:color w:val="333333"/>
                <w:sz w:val="21"/>
                <w:szCs w:val="21"/>
              </w:rPr>
            </w:pPr>
            <w:r>
              <w:rPr>
                <w:rFonts w:hint="eastAsia" w:ascii="仿宋_GB2312" w:hAnsi="仿宋_GB2312" w:eastAsia="仿宋_GB2312" w:cs="仿宋_GB2312"/>
                <w:color w:val="333333"/>
                <w:kern w:val="0"/>
                <w:sz w:val="21"/>
                <w:szCs w:val="21"/>
                <w:lang w:val="en-US" w:eastAsia="zh-CN" w:bidi="ar"/>
              </w:rPr>
              <w:t>2</w:t>
            </w:r>
          </w:p>
        </w:tc>
      </w:tr>
      <w:tr w14:paraId="04236DB1">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510" w:hRule="atLeast"/>
          <w:jc w:val="center"/>
        </w:trPr>
        <w:tc>
          <w:tcPr>
            <w:tcW w:w="721" w:type="pct"/>
            <w:tcBorders>
              <w:top w:val="nil"/>
              <w:left w:val="single" w:color="000000" w:sz="6" w:space="0"/>
              <w:bottom w:val="single" w:color="000000" w:sz="6" w:space="0"/>
              <w:right w:val="single" w:color="000000" w:sz="6" w:space="0"/>
            </w:tcBorders>
            <w:shd w:val="clear" w:color="auto" w:fill="auto"/>
            <w:tcMar>
              <w:left w:w="105" w:type="dxa"/>
              <w:right w:w="105" w:type="dxa"/>
            </w:tcMar>
            <w:vAlign w:val="center"/>
          </w:tcPr>
          <w:p w14:paraId="0D4EE0A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8" w:lineRule="atLeast"/>
              <w:ind w:left="0" w:right="0"/>
              <w:jc w:val="center"/>
              <w:rPr>
                <w:rFonts w:hint="default" w:ascii="Tahoma" w:hAnsi="Tahoma" w:eastAsia="Tahoma" w:cs="Tahoma"/>
                <w:color w:val="333333"/>
                <w:sz w:val="21"/>
                <w:szCs w:val="21"/>
              </w:rPr>
            </w:pPr>
            <w:r>
              <w:rPr>
                <w:rFonts w:hint="eastAsia" w:ascii="仿宋_GB2312" w:hAnsi="仿宋_GB2312" w:eastAsia="仿宋_GB2312" w:cs="仿宋_GB2312"/>
                <w:color w:val="333333"/>
                <w:kern w:val="0"/>
                <w:sz w:val="21"/>
                <w:szCs w:val="21"/>
                <w:lang w:val="en-US" w:eastAsia="zh-CN" w:bidi="ar"/>
              </w:rPr>
              <w:t>5</w:t>
            </w:r>
          </w:p>
        </w:tc>
        <w:tc>
          <w:tcPr>
            <w:tcW w:w="2335" w:type="pct"/>
            <w:tcBorders>
              <w:top w:val="nil"/>
              <w:left w:val="single" w:color="000000" w:sz="6" w:space="0"/>
              <w:bottom w:val="single" w:color="000000" w:sz="6" w:space="0"/>
              <w:right w:val="single" w:color="000000" w:sz="6" w:space="0"/>
            </w:tcBorders>
            <w:shd w:val="clear" w:color="auto" w:fill="auto"/>
            <w:tcMar>
              <w:left w:w="105" w:type="dxa"/>
              <w:right w:w="105" w:type="dxa"/>
            </w:tcMar>
            <w:vAlign w:val="center"/>
          </w:tcPr>
          <w:p w14:paraId="5B50E5A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8" w:lineRule="atLeast"/>
              <w:ind w:left="0" w:right="0"/>
              <w:jc w:val="center"/>
              <w:textAlignment w:val="center"/>
              <w:rPr>
                <w:rFonts w:hint="default" w:ascii="Tahoma" w:hAnsi="Tahoma" w:eastAsia="Tahoma" w:cs="Tahoma"/>
                <w:color w:val="333333"/>
                <w:sz w:val="21"/>
                <w:szCs w:val="21"/>
              </w:rPr>
            </w:pPr>
            <w:r>
              <w:rPr>
                <w:rFonts w:hint="eastAsia" w:ascii="仿宋_GB2312" w:hAnsi="仿宋_GB2312" w:eastAsia="仿宋_GB2312" w:cs="仿宋_GB2312"/>
                <w:color w:val="333333"/>
                <w:kern w:val="0"/>
                <w:sz w:val="21"/>
                <w:szCs w:val="21"/>
                <w:lang w:val="en-US" w:eastAsia="zh-CN" w:bidi="ar"/>
              </w:rPr>
              <w:t>烹饪与营养教育</w:t>
            </w:r>
          </w:p>
        </w:tc>
        <w:tc>
          <w:tcPr>
            <w:tcW w:w="1311" w:type="pct"/>
            <w:tcBorders>
              <w:top w:val="nil"/>
              <w:left w:val="single" w:color="000000" w:sz="6" w:space="0"/>
              <w:bottom w:val="single" w:color="000000" w:sz="6" w:space="0"/>
              <w:right w:val="single" w:color="000000" w:sz="6" w:space="0"/>
            </w:tcBorders>
            <w:shd w:val="clear" w:color="auto" w:fill="auto"/>
            <w:tcMar>
              <w:left w:w="105" w:type="dxa"/>
              <w:right w:w="105" w:type="dxa"/>
            </w:tcMar>
            <w:vAlign w:val="center"/>
          </w:tcPr>
          <w:p w14:paraId="056AFD2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8" w:lineRule="atLeast"/>
              <w:ind w:left="0" w:right="0"/>
              <w:jc w:val="center"/>
              <w:textAlignment w:val="center"/>
              <w:rPr>
                <w:rFonts w:hint="default" w:ascii="Tahoma" w:hAnsi="Tahoma" w:eastAsia="Tahoma" w:cs="Tahoma"/>
                <w:color w:val="333333"/>
                <w:sz w:val="21"/>
                <w:szCs w:val="21"/>
              </w:rPr>
            </w:pPr>
            <w:r>
              <w:rPr>
                <w:rFonts w:hint="eastAsia" w:ascii="仿宋_GB2312" w:hAnsi="仿宋_GB2312" w:eastAsia="仿宋_GB2312" w:cs="仿宋_GB2312"/>
                <w:color w:val="333333"/>
                <w:kern w:val="0"/>
                <w:sz w:val="21"/>
                <w:szCs w:val="21"/>
                <w:lang w:val="en-US" w:eastAsia="zh-CN" w:bidi="ar"/>
              </w:rPr>
              <w:t>082708T</w:t>
            </w:r>
          </w:p>
        </w:tc>
        <w:tc>
          <w:tcPr>
            <w:tcW w:w="630" w:type="pct"/>
            <w:tcBorders>
              <w:top w:val="nil"/>
              <w:left w:val="single" w:color="000000" w:sz="6" w:space="0"/>
              <w:bottom w:val="single" w:color="000000" w:sz="6" w:space="0"/>
              <w:right w:val="single" w:color="000000" w:sz="6" w:space="0"/>
            </w:tcBorders>
            <w:shd w:val="clear" w:color="auto" w:fill="auto"/>
            <w:tcMar>
              <w:left w:w="105" w:type="dxa"/>
              <w:right w:w="105" w:type="dxa"/>
            </w:tcMar>
            <w:vAlign w:val="center"/>
          </w:tcPr>
          <w:p w14:paraId="324205B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8" w:lineRule="atLeast"/>
              <w:ind w:left="0" w:right="0"/>
              <w:jc w:val="center"/>
              <w:textAlignment w:val="center"/>
              <w:rPr>
                <w:rFonts w:hint="default" w:ascii="Tahoma" w:hAnsi="Tahoma" w:eastAsia="Tahoma" w:cs="Tahoma"/>
                <w:color w:val="333333"/>
                <w:sz w:val="21"/>
                <w:szCs w:val="21"/>
              </w:rPr>
            </w:pPr>
            <w:r>
              <w:rPr>
                <w:rFonts w:hint="eastAsia" w:ascii="仿宋_GB2312" w:hAnsi="仿宋_GB2312" w:eastAsia="仿宋_GB2312" w:cs="仿宋_GB2312"/>
                <w:color w:val="333333"/>
                <w:kern w:val="0"/>
                <w:sz w:val="21"/>
                <w:szCs w:val="21"/>
                <w:lang w:val="en-US" w:eastAsia="zh-CN" w:bidi="ar"/>
              </w:rPr>
              <w:t>2</w:t>
            </w:r>
          </w:p>
        </w:tc>
      </w:tr>
      <w:tr w14:paraId="423D9E85">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510" w:hRule="atLeast"/>
          <w:jc w:val="center"/>
        </w:trPr>
        <w:tc>
          <w:tcPr>
            <w:tcW w:w="721" w:type="pct"/>
            <w:tcBorders>
              <w:top w:val="nil"/>
              <w:left w:val="single" w:color="000000" w:sz="6" w:space="0"/>
              <w:bottom w:val="single" w:color="000000" w:sz="6" w:space="0"/>
              <w:right w:val="single" w:color="000000" w:sz="6" w:space="0"/>
            </w:tcBorders>
            <w:shd w:val="clear" w:color="auto" w:fill="auto"/>
            <w:tcMar>
              <w:left w:w="105" w:type="dxa"/>
              <w:right w:w="105" w:type="dxa"/>
            </w:tcMar>
            <w:vAlign w:val="center"/>
          </w:tcPr>
          <w:p w14:paraId="41E9292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8" w:lineRule="atLeast"/>
              <w:ind w:left="0" w:right="0"/>
              <w:jc w:val="center"/>
              <w:rPr>
                <w:rFonts w:hint="default" w:ascii="Tahoma" w:hAnsi="Tahoma" w:eastAsia="Tahoma" w:cs="Tahoma"/>
                <w:color w:val="333333"/>
                <w:sz w:val="21"/>
                <w:szCs w:val="21"/>
              </w:rPr>
            </w:pPr>
            <w:r>
              <w:rPr>
                <w:rFonts w:hint="eastAsia" w:ascii="仿宋_GB2312" w:hAnsi="仿宋_GB2312" w:eastAsia="仿宋_GB2312" w:cs="仿宋_GB2312"/>
                <w:color w:val="333333"/>
                <w:kern w:val="0"/>
                <w:sz w:val="21"/>
                <w:szCs w:val="21"/>
                <w:lang w:val="en-US" w:eastAsia="zh-CN" w:bidi="ar"/>
              </w:rPr>
              <w:t>6</w:t>
            </w:r>
          </w:p>
        </w:tc>
        <w:tc>
          <w:tcPr>
            <w:tcW w:w="2335" w:type="pct"/>
            <w:tcBorders>
              <w:top w:val="nil"/>
              <w:left w:val="single" w:color="000000" w:sz="6" w:space="0"/>
              <w:bottom w:val="single" w:color="000000" w:sz="6" w:space="0"/>
              <w:right w:val="single" w:color="000000" w:sz="6" w:space="0"/>
            </w:tcBorders>
            <w:shd w:val="clear" w:color="auto" w:fill="auto"/>
            <w:tcMar>
              <w:left w:w="105" w:type="dxa"/>
              <w:right w:w="105" w:type="dxa"/>
            </w:tcMar>
            <w:vAlign w:val="center"/>
          </w:tcPr>
          <w:p w14:paraId="5E63D0B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8" w:lineRule="atLeast"/>
              <w:ind w:left="0" w:right="0"/>
              <w:jc w:val="center"/>
              <w:textAlignment w:val="center"/>
              <w:rPr>
                <w:rFonts w:hint="default" w:ascii="Tahoma" w:hAnsi="Tahoma" w:eastAsia="Tahoma" w:cs="Tahoma"/>
                <w:color w:val="333333"/>
                <w:sz w:val="21"/>
                <w:szCs w:val="21"/>
              </w:rPr>
            </w:pPr>
            <w:r>
              <w:rPr>
                <w:rFonts w:hint="eastAsia" w:ascii="仿宋_GB2312" w:hAnsi="仿宋_GB2312" w:eastAsia="仿宋_GB2312" w:cs="仿宋_GB2312"/>
                <w:color w:val="333333"/>
                <w:kern w:val="0"/>
                <w:sz w:val="21"/>
                <w:szCs w:val="21"/>
                <w:lang w:val="en-US" w:eastAsia="zh-CN" w:bidi="ar"/>
              </w:rPr>
              <w:t>大数据管理与应用</w:t>
            </w:r>
          </w:p>
        </w:tc>
        <w:tc>
          <w:tcPr>
            <w:tcW w:w="1311" w:type="pct"/>
            <w:tcBorders>
              <w:top w:val="nil"/>
              <w:left w:val="single" w:color="000000" w:sz="6" w:space="0"/>
              <w:bottom w:val="single" w:color="000000" w:sz="6" w:space="0"/>
              <w:right w:val="single" w:color="000000" w:sz="6" w:space="0"/>
            </w:tcBorders>
            <w:shd w:val="clear" w:color="auto" w:fill="auto"/>
            <w:tcMar>
              <w:left w:w="105" w:type="dxa"/>
              <w:right w:w="105" w:type="dxa"/>
            </w:tcMar>
            <w:vAlign w:val="center"/>
          </w:tcPr>
          <w:p w14:paraId="76864F8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8" w:lineRule="atLeast"/>
              <w:ind w:left="0" w:right="0"/>
              <w:jc w:val="center"/>
              <w:textAlignment w:val="center"/>
              <w:rPr>
                <w:rFonts w:hint="default" w:ascii="Tahoma" w:hAnsi="Tahoma" w:eastAsia="Tahoma" w:cs="Tahoma"/>
                <w:color w:val="333333"/>
                <w:sz w:val="21"/>
                <w:szCs w:val="21"/>
              </w:rPr>
            </w:pPr>
            <w:r>
              <w:rPr>
                <w:rFonts w:hint="eastAsia" w:ascii="仿宋_GB2312" w:hAnsi="仿宋_GB2312" w:eastAsia="仿宋_GB2312" w:cs="仿宋_GB2312"/>
                <w:color w:val="333333"/>
                <w:kern w:val="0"/>
                <w:sz w:val="21"/>
                <w:szCs w:val="21"/>
                <w:lang w:val="en-US" w:eastAsia="zh-CN" w:bidi="ar"/>
              </w:rPr>
              <w:t>120108T</w:t>
            </w:r>
          </w:p>
        </w:tc>
        <w:tc>
          <w:tcPr>
            <w:tcW w:w="630" w:type="pct"/>
            <w:tcBorders>
              <w:top w:val="nil"/>
              <w:left w:val="single" w:color="000000" w:sz="6" w:space="0"/>
              <w:bottom w:val="single" w:color="000000" w:sz="6" w:space="0"/>
              <w:right w:val="single" w:color="000000" w:sz="6" w:space="0"/>
            </w:tcBorders>
            <w:shd w:val="clear" w:color="auto" w:fill="auto"/>
            <w:tcMar>
              <w:left w:w="105" w:type="dxa"/>
              <w:right w:w="105" w:type="dxa"/>
            </w:tcMar>
            <w:vAlign w:val="center"/>
          </w:tcPr>
          <w:p w14:paraId="26BD350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8" w:lineRule="atLeast"/>
              <w:ind w:left="0" w:right="0"/>
              <w:jc w:val="center"/>
              <w:textAlignment w:val="center"/>
              <w:rPr>
                <w:rFonts w:hint="default" w:ascii="Tahoma" w:hAnsi="Tahoma" w:eastAsia="Tahoma" w:cs="Tahoma"/>
                <w:color w:val="333333"/>
                <w:sz w:val="21"/>
                <w:szCs w:val="21"/>
              </w:rPr>
            </w:pPr>
            <w:r>
              <w:rPr>
                <w:rFonts w:hint="eastAsia" w:ascii="仿宋_GB2312" w:hAnsi="仿宋_GB2312" w:eastAsia="仿宋_GB2312" w:cs="仿宋_GB2312"/>
                <w:color w:val="333333"/>
                <w:kern w:val="0"/>
                <w:sz w:val="21"/>
                <w:szCs w:val="21"/>
                <w:lang w:val="en-US" w:eastAsia="zh-CN" w:bidi="ar"/>
              </w:rPr>
              <w:t>2</w:t>
            </w:r>
          </w:p>
        </w:tc>
      </w:tr>
      <w:tr w14:paraId="669C65C6">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510" w:hRule="atLeast"/>
          <w:jc w:val="center"/>
        </w:trPr>
        <w:tc>
          <w:tcPr>
            <w:tcW w:w="721" w:type="pct"/>
            <w:tcBorders>
              <w:top w:val="nil"/>
              <w:left w:val="single" w:color="000000" w:sz="6" w:space="0"/>
              <w:bottom w:val="single" w:color="000000" w:sz="6" w:space="0"/>
              <w:right w:val="single" w:color="000000" w:sz="6" w:space="0"/>
            </w:tcBorders>
            <w:shd w:val="clear" w:color="auto" w:fill="auto"/>
            <w:tcMar>
              <w:left w:w="105" w:type="dxa"/>
              <w:right w:w="105" w:type="dxa"/>
            </w:tcMar>
            <w:vAlign w:val="center"/>
          </w:tcPr>
          <w:p w14:paraId="03FD934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8" w:lineRule="atLeast"/>
              <w:ind w:left="0" w:right="0"/>
              <w:jc w:val="center"/>
              <w:rPr>
                <w:rFonts w:hint="default" w:ascii="Tahoma" w:hAnsi="Tahoma" w:eastAsia="Tahoma" w:cs="Tahoma"/>
                <w:color w:val="333333"/>
                <w:sz w:val="21"/>
                <w:szCs w:val="21"/>
              </w:rPr>
            </w:pPr>
            <w:r>
              <w:rPr>
                <w:rFonts w:hint="eastAsia" w:ascii="仿宋_GB2312" w:hAnsi="仿宋_GB2312" w:eastAsia="仿宋_GB2312" w:cs="仿宋_GB2312"/>
                <w:color w:val="333333"/>
                <w:kern w:val="0"/>
                <w:sz w:val="21"/>
                <w:szCs w:val="21"/>
                <w:lang w:val="en-US" w:eastAsia="zh-CN" w:bidi="ar"/>
              </w:rPr>
              <w:t>7</w:t>
            </w:r>
          </w:p>
        </w:tc>
        <w:tc>
          <w:tcPr>
            <w:tcW w:w="2335" w:type="pct"/>
            <w:tcBorders>
              <w:top w:val="nil"/>
              <w:left w:val="single" w:color="000000" w:sz="6" w:space="0"/>
              <w:bottom w:val="single" w:color="000000" w:sz="6" w:space="0"/>
              <w:right w:val="single" w:color="000000" w:sz="6" w:space="0"/>
            </w:tcBorders>
            <w:shd w:val="clear" w:color="auto" w:fill="auto"/>
            <w:tcMar>
              <w:left w:w="105" w:type="dxa"/>
              <w:right w:w="105" w:type="dxa"/>
            </w:tcMar>
            <w:vAlign w:val="center"/>
          </w:tcPr>
          <w:p w14:paraId="47D1573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8" w:lineRule="atLeast"/>
              <w:ind w:left="0" w:right="0"/>
              <w:jc w:val="center"/>
              <w:textAlignment w:val="center"/>
              <w:rPr>
                <w:rFonts w:hint="default" w:ascii="Tahoma" w:hAnsi="Tahoma" w:eastAsia="Tahoma" w:cs="Tahoma"/>
                <w:color w:val="333333"/>
                <w:sz w:val="21"/>
                <w:szCs w:val="21"/>
              </w:rPr>
            </w:pPr>
            <w:r>
              <w:rPr>
                <w:rFonts w:hint="eastAsia" w:ascii="仿宋_GB2312" w:hAnsi="仿宋_GB2312" w:eastAsia="仿宋_GB2312" w:cs="仿宋_GB2312"/>
                <w:color w:val="333333"/>
                <w:kern w:val="0"/>
                <w:sz w:val="21"/>
                <w:szCs w:val="21"/>
                <w:lang w:val="en-US" w:eastAsia="zh-CN" w:bidi="ar"/>
              </w:rPr>
              <w:t>会计学</w:t>
            </w:r>
          </w:p>
        </w:tc>
        <w:tc>
          <w:tcPr>
            <w:tcW w:w="1311" w:type="pct"/>
            <w:tcBorders>
              <w:top w:val="nil"/>
              <w:left w:val="single" w:color="000000" w:sz="6" w:space="0"/>
              <w:bottom w:val="single" w:color="000000" w:sz="6" w:space="0"/>
              <w:right w:val="single" w:color="000000" w:sz="6" w:space="0"/>
            </w:tcBorders>
            <w:shd w:val="clear" w:color="auto" w:fill="auto"/>
            <w:tcMar>
              <w:left w:w="105" w:type="dxa"/>
              <w:right w:w="105" w:type="dxa"/>
            </w:tcMar>
            <w:vAlign w:val="center"/>
          </w:tcPr>
          <w:p w14:paraId="4F302A0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8" w:lineRule="atLeast"/>
              <w:ind w:left="0" w:right="0"/>
              <w:jc w:val="center"/>
              <w:textAlignment w:val="center"/>
              <w:rPr>
                <w:rFonts w:hint="default" w:ascii="Tahoma" w:hAnsi="Tahoma" w:eastAsia="Tahoma" w:cs="Tahoma"/>
                <w:color w:val="333333"/>
                <w:sz w:val="21"/>
                <w:szCs w:val="21"/>
              </w:rPr>
            </w:pPr>
            <w:r>
              <w:rPr>
                <w:rFonts w:hint="eastAsia" w:ascii="仿宋_GB2312" w:hAnsi="仿宋_GB2312" w:eastAsia="仿宋_GB2312" w:cs="仿宋_GB2312"/>
                <w:color w:val="333333"/>
                <w:kern w:val="0"/>
                <w:sz w:val="21"/>
                <w:szCs w:val="21"/>
                <w:lang w:val="en-US" w:eastAsia="zh-CN" w:bidi="ar"/>
              </w:rPr>
              <w:t>120203K</w:t>
            </w:r>
          </w:p>
        </w:tc>
        <w:tc>
          <w:tcPr>
            <w:tcW w:w="630" w:type="pct"/>
            <w:tcBorders>
              <w:top w:val="nil"/>
              <w:left w:val="single" w:color="000000" w:sz="6" w:space="0"/>
              <w:bottom w:val="single" w:color="000000" w:sz="6" w:space="0"/>
              <w:right w:val="single" w:color="000000" w:sz="6" w:space="0"/>
            </w:tcBorders>
            <w:shd w:val="clear" w:color="auto" w:fill="auto"/>
            <w:tcMar>
              <w:left w:w="105" w:type="dxa"/>
              <w:right w:w="105" w:type="dxa"/>
            </w:tcMar>
            <w:vAlign w:val="center"/>
          </w:tcPr>
          <w:p w14:paraId="5425BDD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8" w:lineRule="atLeast"/>
              <w:ind w:left="0" w:right="0"/>
              <w:jc w:val="center"/>
              <w:textAlignment w:val="center"/>
              <w:rPr>
                <w:rFonts w:hint="default" w:ascii="Tahoma" w:hAnsi="Tahoma" w:eastAsia="Tahoma" w:cs="Tahoma"/>
                <w:color w:val="333333"/>
                <w:sz w:val="21"/>
                <w:szCs w:val="21"/>
              </w:rPr>
            </w:pPr>
            <w:r>
              <w:rPr>
                <w:rFonts w:hint="eastAsia" w:ascii="仿宋_GB2312" w:hAnsi="仿宋_GB2312" w:eastAsia="仿宋_GB2312" w:cs="仿宋_GB2312"/>
                <w:color w:val="333333"/>
                <w:kern w:val="0"/>
                <w:sz w:val="21"/>
                <w:szCs w:val="21"/>
                <w:lang w:val="en-US" w:eastAsia="zh-CN" w:bidi="ar"/>
              </w:rPr>
              <w:t>2</w:t>
            </w:r>
          </w:p>
        </w:tc>
      </w:tr>
      <w:tr w14:paraId="2567C9F8">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510" w:hRule="atLeast"/>
          <w:jc w:val="center"/>
        </w:trPr>
        <w:tc>
          <w:tcPr>
            <w:tcW w:w="721" w:type="pct"/>
            <w:tcBorders>
              <w:top w:val="nil"/>
              <w:left w:val="single" w:color="000000" w:sz="6" w:space="0"/>
              <w:bottom w:val="single" w:color="000000" w:sz="6" w:space="0"/>
              <w:right w:val="single" w:color="000000" w:sz="6" w:space="0"/>
            </w:tcBorders>
            <w:shd w:val="clear" w:color="auto" w:fill="auto"/>
            <w:tcMar>
              <w:left w:w="105" w:type="dxa"/>
              <w:right w:w="105" w:type="dxa"/>
            </w:tcMar>
            <w:vAlign w:val="center"/>
          </w:tcPr>
          <w:p w14:paraId="4159282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8" w:lineRule="atLeast"/>
              <w:ind w:left="0" w:right="0"/>
              <w:jc w:val="center"/>
              <w:rPr>
                <w:rFonts w:hint="default" w:ascii="Tahoma" w:hAnsi="Tahoma" w:eastAsia="Tahoma" w:cs="Tahoma"/>
                <w:color w:val="333333"/>
                <w:sz w:val="21"/>
                <w:szCs w:val="21"/>
              </w:rPr>
            </w:pPr>
            <w:r>
              <w:rPr>
                <w:rFonts w:hint="eastAsia" w:ascii="仿宋_GB2312" w:hAnsi="仿宋_GB2312" w:eastAsia="仿宋_GB2312" w:cs="仿宋_GB2312"/>
                <w:color w:val="333333"/>
                <w:kern w:val="0"/>
                <w:sz w:val="21"/>
                <w:szCs w:val="21"/>
                <w:lang w:val="en-US" w:eastAsia="zh-CN" w:bidi="ar"/>
              </w:rPr>
              <w:t>8</w:t>
            </w:r>
          </w:p>
        </w:tc>
        <w:tc>
          <w:tcPr>
            <w:tcW w:w="2335" w:type="pct"/>
            <w:tcBorders>
              <w:top w:val="nil"/>
              <w:left w:val="single" w:color="000000" w:sz="6" w:space="0"/>
              <w:bottom w:val="single" w:color="000000" w:sz="6" w:space="0"/>
              <w:right w:val="single" w:color="000000" w:sz="6" w:space="0"/>
            </w:tcBorders>
            <w:shd w:val="clear" w:color="auto" w:fill="auto"/>
            <w:tcMar>
              <w:left w:w="105" w:type="dxa"/>
              <w:right w:w="105" w:type="dxa"/>
            </w:tcMar>
            <w:vAlign w:val="center"/>
          </w:tcPr>
          <w:p w14:paraId="568D148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8" w:lineRule="atLeast"/>
              <w:ind w:left="0" w:right="0"/>
              <w:jc w:val="center"/>
              <w:textAlignment w:val="center"/>
              <w:rPr>
                <w:rFonts w:hint="default" w:ascii="Tahoma" w:hAnsi="Tahoma" w:eastAsia="Tahoma" w:cs="Tahoma"/>
                <w:color w:val="333333"/>
                <w:sz w:val="21"/>
                <w:szCs w:val="21"/>
              </w:rPr>
            </w:pPr>
            <w:r>
              <w:rPr>
                <w:rFonts w:hint="eastAsia" w:ascii="仿宋_GB2312" w:hAnsi="仿宋_GB2312" w:eastAsia="仿宋_GB2312" w:cs="仿宋_GB2312"/>
                <w:color w:val="333333"/>
                <w:kern w:val="0"/>
                <w:sz w:val="21"/>
                <w:szCs w:val="21"/>
                <w:lang w:val="en-US" w:eastAsia="zh-CN" w:bidi="ar"/>
              </w:rPr>
              <w:t>国际商务</w:t>
            </w:r>
          </w:p>
        </w:tc>
        <w:tc>
          <w:tcPr>
            <w:tcW w:w="1311" w:type="pct"/>
            <w:tcBorders>
              <w:top w:val="nil"/>
              <w:left w:val="single" w:color="000000" w:sz="6" w:space="0"/>
              <w:bottom w:val="single" w:color="000000" w:sz="6" w:space="0"/>
              <w:right w:val="single" w:color="000000" w:sz="6" w:space="0"/>
            </w:tcBorders>
            <w:shd w:val="clear" w:color="auto" w:fill="auto"/>
            <w:tcMar>
              <w:left w:w="105" w:type="dxa"/>
              <w:right w:w="105" w:type="dxa"/>
            </w:tcMar>
            <w:vAlign w:val="center"/>
          </w:tcPr>
          <w:p w14:paraId="18B1A56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8" w:lineRule="atLeast"/>
              <w:ind w:left="0" w:right="0"/>
              <w:jc w:val="center"/>
              <w:textAlignment w:val="center"/>
              <w:rPr>
                <w:rFonts w:hint="default" w:ascii="Tahoma" w:hAnsi="Tahoma" w:eastAsia="Tahoma" w:cs="Tahoma"/>
                <w:color w:val="333333"/>
                <w:sz w:val="21"/>
                <w:szCs w:val="21"/>
              </w:rPr>
            </w:pPr>
            <w:r>
              <w:rPr>
                <w:rFonts w:hint="eastAsia" w:ascii="仿宋_GB2312" w:hAnsi="仿宋_GB2312" w:eastAsia="仿宋_GB2312" w:cs="仿宋_GB2312"/>
                <w:color w:val="333333"/>
                <w:kern w:val="0"/>
                <w:sz w:val="21"/>
                <w:szCs w:val="21"/>
                <w:lang w:val="en-US" w:eastAsia="zh-CN" w:bidi="ar"/>
              </w:rPr>
              <w:t>120205</w:t>
            </w:r>
          </w:p>
        </w:tc>
        <w:tc>
          <w:tcPr>
            <w:tcW w:w="630" w:type="pct"/>
            <w:tcBorders>
              <w:top w:val="nil"/>
              <w:left w:val="single" w:color="000000" w:sz="6" w:space="0"/>
              <w:bottom w:val="single" w:color="000000" w:sz="6" w:space="0"/>
              <w:right w:val="single" w:color="000000" w:sz="6" w:space="0"/>
            </w:tcBorders>
            <w:shd w:val="clear" w:color="auto" w:fill="auto"/>
            <w:tcMar>
              <w:left w:w="105" w:type="dxa"/>
              <w:right w:w="105" w:type="dxa"/>
            </w:tcMar>
            <w:vAlign w:val="center"/>
          </w:tcPr>
          <w:p w14:paraId="11B9B6B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8" w:lineRule="atLeast"/>
              <w:ind w:left="0" w:right="0"/>
              <w:jc w:val="center"/>
              <w:textAlignment w:val="center"/>
              <w:rPr>
                <w:rFonts w:hint="default" w:ascii="Tahoma" w:hAnsi="Tahoma" w:eastAsia="Tahoma" w:cs="Tahoma"/>
                <w:color w:val="333333"/>
                <w:sz w:val="21"/>
                <w:szCs w:val="21"/>
              </w:rPr>
            </w:pPr>
            <w:r>
              <w:rPr>
                <w:rFonts w:hint="eastAsia" w:ascii="仿宋_GB2312" w:hAnsi="仿宋_GB2312" w:eastAsia="仿宋_GB2312" w:cs="仿宋_GB2312"/>
                <w:color w:val="333333"/>
                <w:kern w:val="0"/>
                <w:sz w:val="21"/>
                <w:szCs w:val="21"/>
                <w:lang w:val="en-US" w:eastAsia="zh-CN" w:bidi="ar"/>
              </w:rPr>
              <w:t>2</w:t>
            </w:r>
          </w:p>
        </w:tc>
      </w:tr>
      <w:tr w14:paraId="20D53F0D">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510" w:hRule="atLeast"/>
          <w:jc w:val="center"/>
        </w:trPr>
        <w:tc>
          <w:tcPr>
            <w:tcW w:w="721" w:type="pct"/>
            <w:tcBorders>
              <w:top w:val="nil"/>
              <w:left w:val="single" w:color="000000" w:sz="6" w:space="0"/>
              <w:bottom w:val="single" w:color="000000" w:sz="6" w:space="0"/>
              <w:right w:val="single" w:color="000000" w:sz="6" w:space="0"/>
            </w:tcBorders>
            <w:shd w:val="clear" w:color="auto" w:fill="auto"/>
            <w:tcMar>
              <w:left w:w="105" w:type="dxa"/>
              <w:right w:w="105" w:type="dxa"/>
            </w:tcMar>
            <w:vAlign w:val="center"/>
          </w:tcPr>
          <w:p w14:paraId="27938F8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8" w:lineRule="atLeast"/>
              <w:ind w:left="0" w:right="0"/>
              <w:jc w:val="center"/>
              <w:rPr>
                <w:rFonts w:hint="default" w:ascii="Tahoma" w:hAnsi="Tahoma" w:eastAsia="Tahoma" w:cs="Tahoma"/>
                <w:color w:val="333333"/>
                <w:sz w:val="21"/>
                <w:szCs w:val="21"/>
              </w:rPr>
            </w:pPr>
            <w:r>
              <w:rPr>
                <w:rFonts w:hint="eastAsia" w:ascii="仿宋_GB2312" w:hAnsi="仿宋_GB2312" w:eastAsia="仿宋_GB2312" w:cs="仿宋_GB2312"/>
                <w:color w:val="333333"/>
                <w:kern w:val="0"/>
                <w:sz w:val="21"/>
                <w:szCs w:val="21"/>
                <w:lang w:val="en-US" w:eastAsia="zh-CN" w:bidi="ar"/>
              </w:rPr>
              <w:t>9</w:t>
            </w:r>
          </w:p>
        </w:tc>
        <w:tc>
          <w:tcPr>
            <w:tcW w:w="2335" w:type="pct"/>
            <w:tcBorders>
              <w:top w:val="nil"/>
              <w:left w:val="single" w:color="000000" w:sz="6" w:space="0"/>
              <w:bottom w:val="single" w:color="000000" w:sz="6" w:space="0"/>
              <w:right w:val="single" w:color="000000" w:sz="6" w:space="0"/>
            </w:tcBorders>
            <w:shd w:val="clear" w:color="auto" w:fill="auto"/>
            <w:tcMar>
              <w:left w:w="105" w:type="dxa"/>
              <w:right w:w="105" w:type="dxa"/>
            </w:tcMar>
            <w:vAlign w:val="center"/>
          </w:tcPr>
          <w:p w14:paraId="0F0D41A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8" w:lineRule="atLeast"/>
              <w:ind w:left="0" w:right="0"/>
              <w:jc w:val="center"/>
              <w:textAlignment w:val="center"/>
              <w:rPr>
                <w:rFonts w:hint="default" w:ascii="Tahoma" w:hAnsi="Tahoma" w:eastAsia="Tahoma" w:cs="Tahoma"/>
                <w:color w:val="333333"/>
                <w:sz w:val="21"/>
                <w:szCs w:val="21"/>
              </w:rPr>
            </w:pPr>
            <w:r>
              <w:rPr>
                <w:rFonts w:hint="eastAsia" w:ascii="仿宋_GB2312" w:hAnsi="仿宋_GB2312" w:eastAsia="仿宋_GB2312" w:cs="仿宋_GB2312"/>
                <w:color w:val="333333"/>
                <w:kern w:val="0"/>
                <w:sz w:val="21"/>
                <w:szCs w:val="21"/>
                <w:lang w:val="en-US" w:eastAsia="zh-CN" w:bidi="ar"/>
              </w:rPr>
              <w:t>人力资源管理</w:t>
            </w:r>
          </w:p>
        </w:tc>
        <w:tc>
          <w:tcPr>
            <w:tcW w:w="1311" w:type="pct"/>
            <w:tcBorders>
              <w:top w:val="nil"/>
              <w:left w:val="single" w:color="000000" w:sz="6" w:space="0"/>
              <w:bottom w:val="single" w:color="000000" w:sz="6" w:space="0"/>
              <w:right w:val="single" w:color="000000" w:sz="6" w:space="0"/>
            </w:tcBorders>
            <w:shd w:val="clear" w:color="auto" w:fill="auto"/>
            <w:tcMar>
              <w:left w:w="105" w:type="dxa"/>
              <w:right w:w="105" w:type="dxa"/>
            </w:tcMar>
            <w:vAlign w:val="center"/>
          </w:tcPr>
          <w:p w14:paraId="7CD7056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8" w:lineRule="atLeast"/>
              <w:ind w:left="0" w:right="0"/>
              <w:jc w:val="center"/>
              <w:textAlignment w:val="center"/>
              <w:rPr>
                <w:rFonts w:hint="default" w:ascii="Tahoma" w:hAnsi="Tahoma" w:eastAsia="Tahoma" w:cs="Tahoma"/>
                <w:color w:val="333333"/>
                <w:sz w:val="21"/>
                <w:szCs w:val="21"/>
              </w:rPr>
            </w:pPr>
            <w:r>
              <w:rPr>
                <w:rFonts w:hint="eastAsia" w:ascii="仿宋_GB2312" w:hAnsi="仿宋_GB2312" w:eastAsia="仿宋_GB2312" w:cs="仿宋_GB2312"/>
                <w:color w:val="333333"/>
                <w:kern w:val="0"/>
                <w:sz w:val="21"/>
                <w:szCs w:val="21"/>
                <w:lang w:val="en-US" w:eastAsia="zh-CN" w:bidi="ar"/>
              </w:rPr>
              <w:t>120206</w:t>
            </w:r>
          </w:p>
        </w:tc>
        <w:tc>
          <w:tcPr>
            <w:tcW w:w="630" w:type="pct"/>
            <w:tcBorders>
              <w:top w:val="nil"/>
              <w:left w:val="single" w:color="000000" w:sz="6" w:space="0"/>
              <w:bottom w:val="single" w:color="000000" w:sz="6" w:space="0"/>
              <w:right w:val="single" w:color="000000" w:sz="6" w:space="0"/>
            </w:tcBorders>
            <w:shd w:val="clear" w:color="auto" w:fill="auto"/>
            <w:tcMar>
              <w:left w:w="105" w:type="dxa"/>
              <w:right w:w="105" w:type="dxa"/>
            </w:tcMar>
            <w:vAlign w:val="center"/>
          </w:tcPr>
          <w:p w14:paraId="0D23655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8" w:lineRule="atLeast"/>
              <w:ind w:left="0" w:right="0"/>
              <w:jc w:val="center"/>
              <w:textAlignment w:val="center"/>
              <w:rPr>
                <w:rFonts w:hint="default" w:ascii="Tahoma" w:hAnsi="Tahoma" w:eastAsia="Tahoma" w:cs="Tahoma"/>
                <w:color w:val="333333"/>
                <w:sz w:val="21"/>
                <w:szCs w:val="21"/>
              </w:rPr>
            </w:pPr>
            <w:r>
              <w:rPr>
                <w:rFonts w:hint="eastAsia" w:ascii="仿宋_GB2312" w:hAnsi="仿宋_GB2312" w:eastAsia="仿宋_GB2312" w:cs="仿宋_GB2312"/>
                <w:color w:val="333333"/>
                <w:kern w:val="0"/>
                <w:sz w:val="21"/>
                <w:szCs w:val="21"/>
                <w:lang w:val="en-US" w:eastAsia="zh-CN" w:bidi="ar"/>
              </w:rPr>
              <w:t>2</w:t>
            </w:r>
          </w:p>
        </w:tc>
      </w:tr>
      <w:tr w14:paraId="31C39B9B">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510" w:hRule="atLeast"/>
          <w:jc w:val="center"/>
        </w:trPr>
        <w:tc>
          <w:tcPr>
            <w:tcW w:w="721" w:type="pct"/>
            <w:tcBorders>
              <w:top w:val="nil"/>
              <w:left w:val="single" w:color="000000" w:sz="6" w:space="0"/>
              <w:bottom w:val="single" w:color="000000" w:sz="6" w:space="0"/>
              <w:right w:val="single" w:color="000000" w:sz="6" w:space="0"/>
            </w:tcBorders>
            <w:shd w:val="clear" w:color="auto" w:fill="auto"/>
            <w:tcMar>
              <w:left w:w="105" w:type="dxa"/>
              <w:right w:w="105" w:type="dxa"/>
            </w:tcMar>
            <w:vAlign w:val="center"/>
          </w:tcPr>
          <w:p w14:paraId="105554D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8" w:lineRule="atLeast"/>
              <w:ind w:left="0" w:right="0"/>
              <w:jc w:val="center"/>
              <w:rPr>
                <w:rFonts w:hint="default" w:ascii="Tahoma" w:hAnsi="Tahoma" w:eastAsia="Tahoma" w:cs="Tahoma"/>
                <w:color w:val="333333"/>
                <w:sz w:val="21"/>
                <w:szCs w:val="21"/>
              </w:rPr>
            </w:pPr>
            <w:r>
              <w:rPr>
                <w:rFonts w:hint="eastAsia" w:ascii="仿宋_GB2312" w:hAnsi="仿宋_GB2312" w:eastAsia="仿宋_GB2312" w:cs="仿宋_GB2312"/>
                <w:color w:val="333333"/>
                <w:kern w:val="0"/>
                <w:sz w:val="21"/>
                <w:szCs w:val="21"/>
                <w:lang w:val="en-US" w:eastAsia="zh-CN" w:bidi="ar"/>
              </w:rPr>
              <w:t>10</w:t>
            </w:r>
          </w:p>
        </w:tc>
        <w:tc>
          <w:tcPr>
            <w:tcW w:w="2335" w:type="pct"/>
            <w:tcBorders>
              <w:top w:val="nil"/>
              <w:left w:val="single" w:color="000000" w:sz="6" w:space="0"/>
              <w:bottom w:val="single" w:color="000000" w:sz="6" w:space="0"/>
              <w:right w:val="single" w:color="000000" w:sz="6" w:space="0"/>
            </w:tcBorders>
            <w:shd w:val="clear" w:color="auto" w:fill="auto"/>
            <w:tcMar>
              <w:left w:w="105" w:type="dxa"/>
              <w:right w:w="105" w:type="dxa"/>
            </w:tcMar>
            <w:vAlign w:val="center"/>
          </w:tcPr>
          <w:p w14:paraId="263EACC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8" w:lineRule="atLeast"/>
              <w:ind w:left="0" w:right="0"/>
              <w:jc w:val="center"/>
              <w:textAlignment w:val="center"/>
              <w:rPr>
                <w:rFonts w:hint="default" w:ascii="Tahoma" w:hAnsi="Tahoma" w:eastAsia="Tahoma" w:cs="Tahoma"/>
                <w:color w:val="333333"/>
                <w:sz w:val="21"/>
                <w:szCs w:val="21"/>
              </w:rPr>
            </w:pPr>
            <w:r>
              <w:rPr>
                <w:rFonts w:hint="eastAsia" w:ascii="仿宋_GB2312" w:hAnsi="仿宋_GB2312" w:eastAsia="仿宋_GB2312" w:cs="仿宋_GB2312"/>
                <w:color w:val="333333"/>
                <w:kern w:val="0"/>
                <w:sz w:val="21"/>
                <w:szCs w:val="21"/>
                <w:lang w:val="en-US" w:eastAsia="zh-CN" w:bidi="ar"/>
              </w:rPr>
              <w:t>零售业管理</w:t>
            </w:r>
          </w:p>
        </w:tc>
        <w:tc>
          <w:tcPr>
            <w:tcW w:w="1311" w:type="pct"/>
            <w:tcBorders>
              <w:top w:val="nil"/>
              <w:left w:val="single" w:color="000000" w:sz="6" w:space="0"/>
              <w:bottom w:val="single" w:color="000000" w:sz="6" w:space="0"/>
              <w:right w:val="single" w:color="000000" w:sz="6" w:space="0"/>
            </w:tcBorders>
            <w:shd w:val="clear" w:color="auto" w:fill="auto"/>
            <w:tcMar>
              <w:left w:w="105" w:type="dxa"/>
              <w:right w:w="105" w:type="dxa"/>
            </w:tcMar>
            <w:vAlign w:val="center"/>
          </w:tcPr>
          <w:p w14:paraId="109D6DF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8" w:lineRule="atLeast"/>
              <w:ind w:left="0" w:right="0"/>
              <w:jc w:val="center"/>
              <w:textAlignment w:val="center"/>
              <w:rPr>
                <w:rFonts w:hint="default" w:ascii="Tahoma" w:hAnsi="Tahoma" w:eastAsia="Tahoma" w:cs="Tahoma"/>
                <w:color w:val="333333"/>
                <w:sz w:val="21"/>
                <w:szCs w:val="21"/>
              </w:rPr>
            </w:pPr>
            <w:r>
              <w:rPr>
                <w:rFonts w:hint="eastAsia" w:ascii="仿宋_GB2312" w:hAnsi="仿宋_GB2312" w:eastAsia="仿宋_GB2312" w:cs="仿宋_GB2312"/>
                <w:color w:val="333333"/>
                <w:kern w:val="0"/>
                <w:sz w:val="21"/>
                <w:szCs w:val="21"/>
                <w:lang w:val="en-US" w:eastAsia="zh-CN" w:bidi="ar"/>
              </w:rPr>
              <w:t>120215T</w:t>
            </w:r>
          </w:p>
        </w:tc>
        <w:tc>
          <w:tcPr>
            <w:tcW w:w="630" w:type="pct"/>
            <w:tcBorders>
              <w:top w:val="nil"/>
              <w:left w:val="single" w:color="000000" w:sz="6" w:space="0"/>
              <w:bottom w:val="single" w:color="000000" w:sz="6" w:space="0"/>
              <w:right w:val="single" w:color="000000" w:sz="6" w:space="0"/>
            </w:tcBorders>
            <w:shd w:val="clear" w:color="auto" w:fill="auto"/>
            <w:tcMar>
              <w:left w:w="105" w:type="dxa"/>
              <w:right w:w="105" w:type="dxa"/>
            </w:tcMar>
            <w:vAlign w:val="center"/>
          </w:tcPr>
          <w:p w14:paraId="7C7085C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8" w:lineRule="atLeast"/>
              <w:ind w:left="0" w:right="0"/>
              <w:jc w:val="center"/>
              <w:textAlignment w:val="center"/>
              <w:rPr>
                <w:rFonts w:hint="default" w:ascii="Tahoma" w:hAnsi="Tahoma" w:eastAsia="Tahoma" w:cs="Tahoma"/>
                <w:color w:val="333333"/>
                <w:sz w:val="21"/>
                <w:szCs w:val="21"/>
              </w:rPr>
            </w:pPr>
            <w:r>
              <w:rPr>
                <w:rFonts w:hint="eastAsia" w:ascii="仿宋_GB2312" w:hAnsi="仿宋_GB2312" w:eastAsia="仿宋_GB2312" w:cs="仿宋_GB2312"/>
                <w:color w:val="333333"/>
                <w:kern w:val="0"/>
                <w:sz w:val="21"/>
                <w:szCs w:val="21"/>
                <w:lang w:val="en-US" w:eastAsia="zh-CN" w:bidi="ar"/>
              </w:rPr>
              <w:t>2</w:t>
            </w:r>
          </w:p>
        </w:tc>
      </w:tr>
      <w:tr w14:paraId="458CADAD">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510" w:hRule="atLeast"/>
          <w:jc w:val="center"/>
        </w:trPr>
        <w:tc>
          <w:tcPr>
            <w:tcW w:w="721" w:type="pct"/>
            <w:tcBorders>
              <w:top w:val="nil"/>
              <w:left w:val="single" w:color="000000" w:sz="6" w:space="0"/>
              <w:bottom w:val="single" w:color="000000" w:sz="6" w:space="0"/>
              <w:right w:val="single" w:color="000000" w:sz="6" w:space="0"/>
            </w:tcBorders>
            <w:shd w:val="clear" w:color="auto" w:fill="auto"/>
            <w:tcMar>
              <w:left w:w="105" w:type="dxa"/>
              <w:right w:w="105" w:type="dxa"/>
            </w:tcMar>
            <w:vAlign w:val="center"/>
          </w:tcPr>
          <w:p w14:paraId="0E41711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8" w:lineRule="atLeast"/>
              <w:ind w:left="0" w:right="0"/>
              <w:jc w:val="center"/>
              <w:rPr>
                <w:rFonts w:hint="default" w:ascii="Tahoma" w:hAnsi="Tahoma" w:eastAsia="Tahoma" w:cs="Tahoma"/>
                <w:color w:val="333333"/>
                <w:sz w:val="21"/>
                <w:szCs w:val="21"/>
              </w:rPr>
            </w:pPr>
            <w:r>
              <w:rPr>
                <w:rFonts w:hint="eastAsia" w:ascii="仿宋_GB2312" w:hAnsi="仿宋_GB2312" w:eastAsia="仿宋_GB2312" w:cs="仿宋_GB2312"/>
                <w:color w:val="333333"/>
                <w:kern w:val="0"/>
                <w:sz w:val="21"/>
                <w:szCs w:val="21"/>
                <w:lang w:val="en-US" w:eastAsia="zh-CN" w:bidi="ar"/>
              </w:rPr>
              <w:t>11</w:t>
            </w:r>
          </w:p>
        </w:tc>
        <w:tc>
          <w:tcPr>
            <w:tcW w:w="2335" w:type="pct"/>
            <w:tcBorders>
              <w:top w:val="nil"/>
              <w:left w:val="single" w:color="000000" w:sz="6" w:space="0"/>
              <w:bottom w:val="single" w:color="000000" w:sz="6" w:space="0"/>
              <w:right w:val="single" w:color="000000" w:sz="6" w:space="0"/>
            </w:tcBorders>
            <w:shd w:val="clear" w:color="auto" w:fill="auto"/>
            <w:tcMar>
              <w:left w:w="105" w:type="dxa"/>
              <w:right w:w="105" w:type="dxa"/>
            </w:tcMar>
            <w:vAlign w:val="center"/>
          </w:tcPr>
          <w:p w14:paraId="5B9B515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8" w:lineRule="atLeast"/>
              <w:ind w:left="0" w:right="0"/>
              <w:jc w:val="center"/>
              <w:textAlignment w:val="center"/>
              <w:rPr>
                <w:rFonts w:hint="default" w:ascii="Tahoma" w:hAnsi="Tahoma" w:eastAsia="Tahoma" w:cs="Tahoma"/>
                <w:color w:val="333333"/>
                <w:sz w:val="21"/>
                <w:szCs w:val="21"/>
              </w:rPr>
            </w:pPr>
            <w:r>
              <w:rPr>
                <w:rFonts w:hint="eastAsia" w:ascii="仿宋_GB2312" w:hAnsi="仿宋_GB2312" w:eastAsia="仿宋_GB2312" w:cs="仿宋_GB2312"/>
                <w:color w:val="333333"/>
                <w:kern w:val="0"/>
                <w:sz w:val="21"/>
                <w:szCs w:val="21"/>
                <w:lang w:val="en-US" w:eastAsia="zh-CN" w:bidi="ar"/>
              </w:rPr>
              <w:t>电子商务</w:t>
            </w:r>
          </w:p>
        </w:tc>
        <w:tc>
          <w:tcPr>
            <w:tcW w:w="1311" w:type="pct"/>
            <w:tcBorders>
              <w:top w:val="nil"/>
              <w:left w:val="single" w:color="000000" w:sz="6" w:space="0"/>
              <w:bottom w:val="single" w:color="000000" w:sz="6" w:space="0"/>
              <w:right w:val="single" w:color="000000" w:sz="6" w:space="0"/>
            </w:tcBorders>
            <w:shd w:val="clear" w:color="auto" w:fill="auto"/>
            <w:tcMar>
              <w:left w:w="105" w:type="dxa"/>
              <w:right w:w="105" w:type="dxa"/>
            </w:tcMar>
            <w:vAlign w:val="center"/>
          </w:tcPr>
          <w:p w14:paraId="116F371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8" w:lineRule="atLeast"/>
              <w:ind w:left="0" w:right="0"/>
              <w:jc w:val="center"/>
              <w:textAlignment w:val="center"/>
              <w:rPr>
                <w:rFonts w:hint="default" w:ascii="Tahoma" w:hAnsi="Tahoma" w:eastAsia="Tahoma" w:cs="Tahoma"/>
                <w:color w:val="333333"/>
                <w:sz w:val="21"/>
                <w:szCs w:val="21"/>
              </w:rPr>
            </w:pPr>
            <w:r>
              <w:rPr>
                <w:rFonts w:hint="eastAsia" w:ascii="仿宋_GB2312" w:hAnsi="仿宋_GB2312" w:eastAsia="仿宋_GB2312" w:cs="仿宋_GB2312"/>
                <w:color w:val="333333"/>
                <w:kern w:val="0"/>
                <w:sz w:val="21"/>
                <w:szCs w:val="21"/>
                <w:lang w:val="en-US" w:eastAsia="zh-CN" w:bidi="ar"/>
              </w:rPr>
              <w:t>120801</w:t>
            </w:r>
          </w:p>
        </w:tc>
        <w:tc>
          <w:tcPr>
            <w:tcW w:w="630" w:type="pct"/>
            <w:tcBorders>
              <w:top w:val="nil"/>
              <w:left w:val="single" w:color="000000" w:sz="6" w:space="0"/>
              <w:bottom w:val="single" w:color="000000" w:sz="6" w:space="0"/>
              <w:right w:val="single" w:color="000000" w:sz="6" w:space="0"/>
            </w:tcBorders>
            <w:shd w:val="clear" w:color="auto" w:fill="auto"/>
            <w:tcMar>
              <w:left w:w="105" w:type="dxa"/>
              <w:right w:w="105" w:type="dxa"/>
            </w:tcMar>
            <w:vAlign w:val="center"/>
          </w:tcPr>
          <w:p w14:paraId="1BA65B3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8" w:lineRule="atLeast"/>
              <w:ind w:left="0" w:right="0"/>
              <w:jc w:val="center"/>
              <w:textAlignment w:val="center"/>
              <w:rPr>
                <w:rFonts w:hint="default" w:ascii="Tahoma" w:hAnsi="Tahoma" w:eastAsia="Tahoma" w:cs="Tahoma"/>
                <w:color w:val="333333"/>
                <w:sz w:val="21"/>
                <w:szCs w:val="21"/>
              </w:rPr>
            </w:pPr>
            <w:r>
              <w:rPr>
                <w:rFonts w:hint="eastAsia" w:ascii="仿宋_GB2312" w:hAnsi="仿宋_GB2312" w:eastAsia="仿宋_GB2312" w:cs="仿宋_GB2312"/>
                <w:color w:val="333333"/>
                <w:kern w:val="0"/>
                <w:sz w:val="21"/>
                <w:szCs w:val="21"/>
                <w:lang w:val="en-US" w:eastAsia="zh-CN" w:bidi="ar"/>
              </w:rPr>
              <w:t>2</w:t>
            </w:r>
          </w:p>
        </w:tc>
      </w:tr>
      <w:tr w14:paraId="2F112B25">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510" w:hRule="atLeast"/>
          <w:jc w:val="center"/>
        </w:trPr>
        <w:tc>
          <w:tcPr>
            <w:tcW w:w="721" w:type="pct"/>
            <w:tcBorders>
              <w:top w:val="nil"/>
              <w:left w:val="single" w:color="000000" w:sz="6" w:space="0"/>
              <w:bottom w:val="single" w:color="000000" w:sz="6" w:space="0"/>
              <w:right w:val="single" w:color="000000" w:sz="6" w:space="0"/>
            </w:tcBorders>
            <w:shd w:val="clear" w:color="auto" w:fill="auto"/>
            <w:tcMar>
              <w:left w:w="105" w:type="dxa"/>
              <w:right w:w="105" w:type="dxa"/>
            </w:tcMar>
            <w:vAlign w:val="center"/>
          </w:tcPr>
          <w:p w14:paraId="0D21A52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8" w:lineRule="atLeast"/>
              <w:ind w:left="0" w:right="0"/>
              <w:jc w:val="center"/>
              <w:rPr>
                <w:rFonts w:hint="default" w:ascii="Tahoma" w:hAnsi="Tahoma" w:eastAsia="Tahoma" w:cs="Tahoma"/>
                <w:color w:val="333333"/>
                <w:sz w:val="21"/>
                <w:szCs w:val="21"/>
              </w:rPr>
            </w:pPr>
            <w:r>
              <w:rPr>
                <w:rFonts w:hint="eastAsia" w:ascii="仿宋_GB2312" w:hAnsi="仿宋_GB2312" w:eastAsia="仿宋_GB2312" w:cs="仿宋_GB2312"/>
                <w:color w:val="333333"/>
                <w:kern w:val="0"/>
                <w:sz w:val="21"/>
                <w:szCs w:val="21"/>
                <w:lang w:val="en-US" w:eastAsia="zh-CN" w:bidi="ar"/>
              </w:rPr>
              <w:t>12</w:t>
            </w:r>
          </w:p>
        </w:tc>
        <w:tc>
          <w:tcPr>
            <w:tcW w:w="2335" w:type="pct"/>
            <w:tcBorders>
              <w:top w:val="nil"/>
              <w:left w:val="single" w:color="000000" w:sz="6" w:space="0"/>
              <w:bottom w:val="single" w:color="000000" w:sz="6" w:space="0"/>
              <w:right w:val="single" w:color="000000" w:sz="6" w:space="0"/>
            </w:tcBorders>
            <w:shd w:val="clear" w:color="auto" w:fill="auto"/>
            <w:tcMar>
              <w:left w:w="105" w:type="dxa"/>
              <w:right w:w="105" w:type="dxa"/>
            </w:tcMar>
            <w:vAlign w:val="center"/>
          </w:tcPr>
          <w:p w14:paraId="05E9464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8" w:lineRule="atLeast"/>
              <w:ind w:left="0" w:right="0"/>
              <w:jc w:val="center"/>
              <w:textAlignment w:val="center"/>
              <w:rPr>
                <w:rFonts w:hint="default" w:ascii="Tahoma" w:hAnsi="Tahoma" w:eastAsia="Tahoma" w:cs="Tahoma"/>
                <w:color w:val="333333"/>
                <w:sz w:val="21"/>
                <w:szCs w:val="21"/>
              </w:rPr>
            </w:pPr>
            <w:r>
              <w:rPr>
                <w:rFonts w:hint="eastAsia" w:ascii="仿宋_GB2312" w:hAnsi="仿宋_GB2312" w:eastAsia="仿宋_GB2312" w:cs="仿宋_GB2312"/>
                <w:color w:val="333333"/>
                <w:kern w:val="0"/>
                <w:sz w:val="21"/>
                <w:szCs w:val="21"/>
                <w:lang w:val="en-US" w:eastAsia="zh-CN" w:bidi="ar"/>
              </w:rPr>
              <w:t>酒店管理</w:t>
            </w:r>
          </w:p>
        </w:tc>
        <w:tc>
          <w:tcPr>
            <w:tcW w:w="1311" w:type="pct"/>
            <w:tcBorders>
              <w:top w:val="nil"/>
              <w:left w:val="single" w:color="000000" w:sz="6" w:space="0"/>
              <w:bottom w:val="single" w:color="000000" w:sz="6" w:space="0"/>
              <w:right w:val="single" w:color="000000" w:sz="6" w:space="0"/>
            </w:tcBorders>
            <w:shd w:val="clear" w:color="auto" w:fill="auto"/>
            <w:tcMar>
              <w:left w:w="105" w:type="dxa"/>
              <w:right w:w="105" w:type="dxa"/>
            </w:tcMar>
            <w:vAlign w:val="center"/>
          </w:tcPr>
          <w:p w14:paraId="4289AB5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8" w:lineRule="atLeast"/>
              <w:ind w:left="0" w:right="0"/>
              <w:jc w:val="center"/>
              <w:textAlignment w:val="center"/>
              <w:rPr>
                <w:rFonts w:hint="default" w:ascii="Tahoma" w:hAnsi="Tahoma" w:eastAsia="Tahoma" w:cs="Tahoma"/>
                <w:color w:val="333333"/>
                <w:sz w:val="21"/>
                <w:szCs w:val="21"/>
              </w:rPr>
            </w:pPr>
            <w:r>
              <w:rPr>
                <w:rFonts w:hint="eastAsia" w:ascii="仿宋_GB2312" w:hAnsi="仿宋_GB2312" w:eastAsia="仿宋_GB2312" w:cs="仿宋_GB2312"/>
                <w:color w:val="333333"/>
                <w:kern w:val="0"/>
                <w:sz w:val="21"/>
                <w:szCs w:val="21"/>
                <w:lang w:val="en-US" w:eastAsia="zh-CN" w:bidi="ar"/>
              </w:rPr>
              <w:t>120902</w:t>
            </w:r>
          </w:p>
        </w:tc>
        <w:tc>
          <w:tcPr>
            <w:tcW w:w="630" w:type="pct"/>
            <w:tcBorders>
              <w:top w:val="nil"/>
              <w:left w:val="single" w:color="000000" w:sz="6" w:space="0"/>
              <w:bottom w:val="single" w:color="000000" w:sz="6" w:space="0"/>
              <w:right w:val="single" w:color="000000" w:sz="6" w:space="0"/>
            </w:tcBorders>
            <w:shd w:val="clear" w:color="auto" w:fill="auto"/>
            <w:tcMar>
              <w:left w:w="105" w:type="dxa"/>
              <w:right w:w="105" w:type="dxa"/>
            </w:tcMar>
            <w:vAlign w:val="center"/>
          </w:tcPr>
          <w:p w14:paraId="443FB27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8" w:lineRule="atLeast"/>
              <w:ind w:left="0" w:right="0"/>
              <w:jc w:val="center"/>
              <w:textAlignment w:val="center"/>
              <w:rPr>
                <w:rFonts w:hint="default" w:ascii="Tahoma" w:hAnsi="Tahoma" w:eastAsia="Tahoma" w:cs="Tahoma"/>
                <w:color w:val="333333"/>
                <w:sz w:val="21"/>
                <w:szCs w:val="21"/>
              </w:rPr>
            </w:pPr>
            <w:r>
              <w:rPr>
                <w:rFonts w:hint="eastAsia" w:ascii="仿宋_GB2312" w:hAnsi="仿宋_GB2312" w:eastAsia="仿宋_GB2312" w:cs="仿宋_GB2312"/>
                <w:color w:val="333333"/>
                <w:kern w:val="0"/>
                <w:sz w:val="21"/>
                <w:szCs w:val="21"/>
                <w:lang w:val="en-US" w:eastAsia="zh-CN" w:bidi="ar"/>
              </w:rPr>
              <w:t>2</w:t>
            </w:r>
          </w:p>
        </w:tc>
      </w:tr>
      <w:tr w14:paraId="2228FDC7">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510" w:hRule="atLeast"/>
          <w:jc w:val="center"/>
        </w:trPr>
        <w:tc>
          <w:tcPr>
            <w:tcW w:w="721" w:type="pct"/>
            <w:tcBorders>
              <w:top w:val="nil"/>
              <w:left w:val="single" w:color="000000" w:sz="6" w:space="0"/>
              <w:bottom w:val="single" w:color="000000" w:sz="6" w:space="0"/>
              <w:right w:val="single" w:color="000000" w:sz="6" w:space="0"/>
            </w:tcBorders>
            <w:shd w:val="clear" w:color="auto" w:fill="auto"/>
            <w:tcMar>
              <w:left w:w="105" w:type="dxa"/>
              <w:right w:w="105" w:type="dxa"/>
            </w:tcMar>
            <w:vAlign w:val="center"/>
          </w:tcPr>
          <w:p w14:paraId="748B322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8" w:lineRule="atLeast"/>
              <w:ind w:left="0" w:right="0"/>
              <w:jc w:val="center"/>
              <w:rPr>
                <w:rFonts w:hint="default" w:ascii="Tahoma" w:hAnsi="Tahoma" w:eastAsia="Tahoma" w:cs="Tahoma"/>
                <w:color w:val="333333"/>
                <w:sz w:val="21"/>
                <w:szCs w:val="21"/>
              </w:rPr>
            </w:pPr>
            <w:r>
              <w:rPr>
                <w:rFonts w:hint="eastAsia" w:ascii="仿宋_GB2312" w:hAnsi="仿宋_GB2312" w:eastAsia="仿宋_GB2312" w:cs="仿宋_GB2312"/>
                <w:color w:val="333333"/>
                <w:kern w:val="0"/>
                <w:sz w:val="21"/>
                <w:szCs w:val="21"/>
                <w:lang w:val="en-US" w:eastAsia="zh-CN" w:bidi="ar"/>
              </w:rPr>
              <w:t>13</w:t>
            </w:r>
          </w:p>
        </w:tc>
        <w:tc>
          <w:tcPr>
            <w:tcW w:w="2335" w:type="pct"/>
            <w:tcBorders>
              <w:top w:val="nil"/>
              <w:left w:val="single" w:color="000000" w:sz="6" w:space="0"/>
              <w:bottom w:val="single" w:color="000000" w:sz="6" w:space="0"/>
              <w:right w:val="single" w:color="000000" w:sz="6" w:space="0"/>
            </w:tcBorders>
            <w:shd w:val="clear" w:color="auto" w:fill="auto"/>
            <w:tcMar>
              <w:left w:w="105" w:type="dxa"/>
              <w:right w:w="105" w:type="dxa"/>
            </w:tcMar>
            <w:vAlign w:val="center"/>
          </w:tcPr>
          <w:p w14:paraId="579800F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8" w:lineRule="atLeast"/>
              <w:ind w:left="0" w:right="0"/>
              <w:jc w:val="center"/>
              <w:textAlignment w:val="center"/>
              <w:rPr>
                <w:rFonts w:hint="default" w:ascii="Tahoma" w:hAnsi="Tahoma" w:eastAsia="Tahoma" w:cs="Tahoma"/>
                <w:color w:val="333333"/>
                <w:sz w:val="21"/>
                <w:szCs w:val="21"/>
              </w:rPr>
            </w:pPr>
            <w:r>
              <w:rPr>
                <w:rFonts w:hint="eastAsia" w:ascii="仿宋_GB2312" w:hAnsi="仿宋_GB2312" w:eastAsia="仿宋_GB2312" w:cs="仿宋_GB2312"/>
                <w:color w:val="333333"/>
                <w:kern w:val="0"/>
                <w:sz w:val="21"/>
                <w:szCs w:val="21"/>
                <w:lang w:val="en-US" w:eastAsia="zh-CN" w:bidi="ar"/>
              </w:rPr>
              <w:t>会展经济与管理</w:t>
            </w:r>
          </w:p>
        </w:tc>
        <w:tc>
          <w:tcPr>
            <w:tcW w:w="1311" w:type="pct"/>
            <w:tcBorders>
              <w:top w:val="nil"/>
              <w:left w:val="single" w:color="000000" w:sz="6" w:space="0"/>
              <w:bottom w:val="single" w:color="000000" w:sz="6" w:space="0"/>
              <w:right w:val="single" w:color="000000" w:sz="6" w:space="0"/>
            </w:tcBorders>
            <w:shd w:val="clear" w:color="auto" w:fill="auto"/>
            <w:tcMar>
              <w:left w:w="105" w:type="dxa"/>
              <w:right w:w="105" w:type="dxa"/>
            </w:tcMar>
            <w:vAlign w:val="center"/>
          </w:tcPr>
          <w:p w14:paraId="2005B36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8" w:lineRule="atLeast"/>
              <w:ind w:left="0" w:right="0"/>
              <w:jc w:val="center"/>
              <w:textAlignment w:val="center"/>
              <w:rPr>
                <w:rFonts w:hint="default" w:ascii="Tahoma" w:hAnsi="Tahoma" w:eastAsia="Tahoma" w:cs="Tahoma"/>
                <w:color w:val="333333"/>
                <w:sz w:val="21"/>
                <w:szCs w:val="21"/>
              </w:rPr>
            </w:pPr>
            <w:r>
              <w:rPr>
                <w:rFonts w:hint="eastAsia" w:ascii="仿宋_GB2312" w:hAnsi="仿宋_GB2312" w:eastAsia="仿宋_GB2312" w:cs="仿宋_GB2312"/>
                <w:color w:val="333333"/>
                <w:kern w:val="0"/>
                <w:sz w:val="21"/>
                <w:szCs w:val="21"/>
                <w:lang w:val="en-US" w:eastAsia="zh-CN" w:bidi="ar"/>
              </w:rPr>
              <w:t>120903</w:t>
            </w:r>
          </w:p>
        </w:tc>
        <w:tc>
          <w:tcPr>
            <w:tcW w:w="630" w:type="pct"/>
            <w:tcBorders>
              <w:top w:val="nil"/>
              <w:left w:val="single" w:color="000000" w:sz="6" w:space="0"/>
              <w:bottom w:val="single" w:color="000000" w:sz="6" w:space="0"/>
              <w:right w:val="single" w:color="000000" w:sz="6" w:space="0"/>
            </w:tcBorders>
            <w:shd w:val="clear" w:color="auto" w:fill="auto"/>
            <w:tcMar>
              <w:left w:w="105" w:type="dxa"/>
              <w:right w:w="105" w:type="dxa"/>
            </w:tcMar>
            <w:vAlign w:val="center"/>
          </w:tcPr>
          <w:p w14:paraId="08E2C43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8" w:lineRule="atLeast"/>
              <w:ind w:left="0" w:right="0"/>
              <w:jc w:val="center"/>
              <w:textAlignment w:val="center"/>
              <w:rPr>
                <w:rFonts w:hint="default" w:ascii="Tahoma" w:hAnsi="Tahoma" w:eastAsia="Tahoma" w:cs="Tahoma"/>
                <w:color w:val="333333"/>
                <w:sz w:val="21"/>
                <w:szCs w:val="21"/>
              </w:rPr>
            </w:pPr>
            <w:r>
              <w:rPr>
                <w:rFonts w:hint="eastAsia" w:ascii="仿宋_GB2312" w:hAnsi="仿宋_GB2312" w:eastAsia="仿宋_GB2312" w:cs="仿宋_GB2312"/>
                <w:color w:val="333333"/>
                <w:kern w:val="0"/>
                <w:sz w:val="21"/>
                <w:szCs w:val="21"/>
                <w:lang w:val="en-US" w:eastAsia="zh-CN" w:bidi="ar"/>
              </w:rPr>
              <w:t>2</w:t>
            </w:r>
          </w:p>
        </w:tc>
      </w:tr>
      <w:tr w14:paraId="0EE97952">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510" w:hRule="atLeast"/>
          <w:jc w:val="center"/>
        </w:trPr>
        <w:tc>
          <w:tcPr>
            <w:tcW w:w="721" w:type="pct"/>
            <w:tcBorders>
              <w:top w:val="nil"/>
              <w:left w:val="single" w:color="000000" w:sz="6" w:space="0"/>
              <w:bottom w:val="single" w:color="000000" w:sz="6" w:space="0"/>
              <w:right w:val="single" w:color="000000" w:sz="6" w:space="0"/>
            </w:tcBorders>
            <w:shd w:val="clear" w:color="auto" w:fill="auto"/>
            <w:tcMar>
              <w:left w:w="105" w:type="dxa"/>
              <w:right w:w="105" w:type="dxa"/>
            </w:tcMar>
            <w:vAlign w:val="center"/>
          </w:tcPr>
          <w:p w14:paraId="1BA5033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8" w:lineRule="atLeast"/>
              <w:ind w:left="0" w:right="0"/>
              <w:jc w:val="center"/>
              <w:rPr>
                <w:rFonts w:hint="default" w:ascii="Tahoma" w:hAnsi="Tahoma" w:eastAsia="Tahoma" w:cs="Tahoma"/>
                <w:color w:val="333333"/>
                <w:sz w:val="21"/>
                <w:szCs w:val="21"/>
              </w:rPr>
            </w:pPr>
            <w:r>
              <w:rPr>
                <w:rFonts w:hint="eastAsia" w:ascii="仿宋_GB2312" w:hAnsi="仿宋_GB2312" w:eastAsia="仿宋_GB2312" w:cs="仿宋_GB2312"/>
                <w:color w:val="333333"/>
                <w:kern w:val="0"/>
                <w:sz w:val="21"/>
                <w:szCs w:val="21"/>
                <w:lang w:val="en-US" w:eastAsia="zh-CN" w:bidi="ar"/>
              </w:rPr>
              <w:t>14</w:t>
            </w:r>
          </w:p>
        </w:tc>
        <w:tc>
          <w:tcPr>
            <w:tcW w:w="2335" w:type="pct"/>
            <w:tcBorders>
              <w:top w:val="nil"/>
              <w:left w:val="single" w:color="000000" w:sz="6" w:space="0"/>
              <w:bottom w:val="single" w:color="000000" w:sz="6" w:space="0"/>
              <w:right w:val="single" w:color="000000" w:sz="6" w:space="0"/>
            </w:tcBorders>
            <w:shd w:val="clear" w:color="auto" w:fill="auto"/>
            <w:tcMar>
              <w:left w:w="105" w:type="dxa"/>
              <w:right w:w="105" w:type="dxa"/>
            </w:tcMar>
            <w:vAlign w:val="center"/>
          </w:tcPr>
          <w:p w14:paraId="63998F1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8" w:lineRule="atLeast"/>
              <w:ind w:left="0" w:right="0"/>
              <w:jc w:val="center"/>
              <w:textAlignment w:val="center"/>
              <w:rPr>
                <w:rFonts w:hint="default" w:ascii="Tahoma" w:hAnsi="Tahoma" w:eastAsia="Tahoma" w:cs="Tahoma"/>
                <w:color w:val="333333"/>
                <w:sz w:val="21"/>
                <w:szCs w:val="21"/>
              </w:rPr>
            </w:pPr>
            <w:r>
              <w:rPr>
                <w:rFonts w:hint="eastAsia" w:ascii="仿宋_GB2312" w:hAnsi="仿宋_GB2312" w:eastAsia="仿宋_GB2312" w:cs="仿宋_GB2312"/>
                <w:color w:val="333333"/>
                <w:kern w:val="0"/>
                <w:sz w:val="21"/>
                <w:szCs w:val="21"/>
                <w:lang w:val="en-US" w:eastAsia="zh-CN" w:bidi="ar"/>
              </w:rPr>
              <w:t>旅游管理与服务教育</w:t>
            </w:r>
          </w:p>
        </w:tc>
        <w:tc>
          <w:tcPr>
            <w:tcW w:w="1311" w:type="pct"/>
            <w:tcBorders>
              <w:top w:val="nil"/>
              <w:left w:val="single" w:color="000000" w:sz="6" w:space="0"/>
              <w:bottom w:val="single" w:color="000000" w:sz="6" w:space="0"/>
              <w:right w:val="single" w:color="000000" w:sz="6" w:space="0"/>
            </w:tcBorders>
            <w:shd w:val="clear" w:color="auto" w:fill="auto"/>
            <w:tcMar>
              <w:left w:w="105" w:type="dxa"/>
              <w:right w:w="105" w:type="dxa"/>
            </w:tcMar>
            <w:vAlign w:val="center"/>
          </w:tcPr>
          <w:p w14:paraId="221A5EA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8" w:lineRule="atLeast"/>
              <w:ind w:left="0" w:right="0"/>
              <w:jc w:val="center"/>
              <w:textAlignment w:val="center"/>
              <w:rPr>
                <w:rFonts w:hint="default" w:ascii="Tahoma" w:hAnsi="Tahoma" w:eastAsia="Tahoma" w:cs="Tahoma"/>
                <w:color w:val="333333"/>
                <w:sz w:val="21"/>
                <w:szCs w:val="21"/>
              </w:rPr>
            </w:pPr>
            <w:r>
              <w:rPr>
                <w:rFonts w:hint="eastAsia" w:ascii="仿宋_GB2312" w:hAnsi="仿宋_GB2312" w:eastAsia="仿宋_GB2312" w:cs="仿宋_GB2312"/>
                <w:color w:val="333333"/>
                <w:kern w:val="0"/>
                <w:sz w:val="21"/>
                <w:szCs w:val="21"/>
                <w:lang w:val="en-US" w:eastAsia="zh-CN" w:bidi="ar"/>
              </w:rPr>
              <w:t>120904T</w:t>
            </w:r>
          </w:p>
        </w:tc>
        <w:tc>
          <w:tcPr>
            <w:tcW w:w="630" w:type="pct"/>
            <w:tcBorders>
              <w:top w:val="nil"/>
              <w:left w:val="single" w:color="000000" w:sz="6" w:space="0"/>
              <w:bottom w:val="single" w:color="000000" w:sz="6" w:space="0"/>
              <w:right w:val="single" w:color="000000" w:sz="6" w:space="0"/>
            </w:tcBorders>
            <w:shd w:val="clear" w:color="auto" w:fill="auto"/>
            <w:tcMar>
              <w:left w:w="105" w:type="dxa"/>
              <w:right w:w="105" w:type="dxa"/>
            </w:tcMar>
            <w:vAlign w:val="center"/>
          </w:tcPr>
          <w:p w14:paraId="4799E12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8" w:lineRule="atLeast"/>
              <w:ind w:left="0" w:right="0"/>
              <w:jc w:val="center"/>
              <w:textAlignment w:val="center"/>
              <w:rPr>
                <w:rFonts w:hint="default" w:ascii="Tahoma" w:hAnsi="Tahoma" w:eastAsia="Tahoma" w:cs="Tahoma"/>
                <w:color w:val="333333"/>
                <w:sz w:val="21"/>
                <w:szCs w:val="21"/>
              </w:rPr>
            </w:pPr>
            <w:r>
              <w:rPr>
                <w:rFonts w:hint="eastAsia" w:ascii="仿宋_GB2312" w:hAnsi="仿宋_GB2312" w:eastAsia="仿宋_GB2312" w:cs="仿宋_GB2312"/>
                <w:color w:val="333333"/>
                <w:kern w:val="0"/>
                <w:sz w:val="21"/>
                <w:szCs w:val="21"/>
                <w:lang w:val="en-US" w:eastAsia="zh-CN" w:bidi="ar"/>
              </w:rPr>
              <w:t>2</w:t>
            </w:r>
          </w:p>
        </w:tc>
      </w:tr>
      <w:tr w14:paraId="2E52A22D">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510" w:hRule="atLeast"/>
          <w:jc w:val="center"/>
        </w:trPr>
        <w:tc>
          <w:tcPr>
            <w:tcW w:w="721" w:type="pct"/>
            <w:tcBorders>
              <w:top w:val="nil"/>
              <w:left w:val="single" w:color="000000" w:sz="6" w:space="0"/>
              <w:bottom w:val="single" w:color="000000" w:sz="6" w:space="0"/>
              <w:right w:val="single" w:color="000000" w:sz="6" w:space="0"/>
            </w:tcBorders>
            <w:shd w:val="clear" w:color="auto" w:fill="auto"/>
            <w:tcMar>
              <w:left w:w="105" w:type="dxa"/>
              <w:right w:w="105" w:type="dxa"/>
            </w:tcMar>
            <w:vAlign w:val="center"/>
          </w:tcPr>
          <w:p w14:paraId="321BCB7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8" w:lineRule="atLeast"/>
              <w:ind w:left="0" w:right="0"/>
              <w:jc w:val="center"/>
              <w:rPr>
                <w:rFonts w:hint="default" w:ascii="Tahoma" w:hAnsi="Tahoma" w:eastAsia="Tahoma" w:cs="Tahoma"/>
                <w:color w:val="333333"/>
                <w:sz w:val="21"/>
                <w:szCs w:val="21"/>
              </w:rPr>
            </w:pPr>
            <w:r>
              <w:rPr>
                <w:rFonts w:hint="eastAsia" w:ascii="仿宋_GB2312" w:hAnsi="仿宋_GB2312" w:eastAsia="仿宋_GB2312" w:cs="仿宋_GB2312"/>
                <w:color w:val="333333"/>
                <w:kern w:val="0"/>
                <w:sz w:val="21"/>
                <w:szCs w:val="21"/>
                <w:lang w:val="en-US" w:eastAsia="zh-CN" w:bidi="ar"/>
              </w:rPr>
              <w:t>15</w:t>
            </w:r>
          </w:p>
        </w:tc>
        <w:tc>
          <w:tcPr>
            <w:tcW w:w="2335" w:type="pct"/>
            <w:tcBorders>
              <w:top w:val="nil"/>
              <w:left w:val="single" w:color="000000" w:sz="6" w:space="0"/>
              <w:bottom w:val="single" w:color="000000" w:sz="6" w:space="0"/>
              <w:right w:val="single" w:color="000000" w:sz="6" w:space="0"/>
            </w:tcBorders>
            <w:shd w:val="clear" w:color="auto" w:fill="auto"/>
            <w:tcMar>
              <w:left w:w="105" w:type="dxa"/>
              <w:right w:w="105" w:type="dxa"/>
            </w:tcMar>
            <w:vAlign w:val="center"/>
          </w:tcPr>
          <w:p w14:paraId="72E15CA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8" w:lineRule="atLeast"/>
              <w:ind w:left="0" w:right="0"/>
              <w:jc w:val="center"/>
              <w:textAlignment w:val="center"/>
              <w:rPr>
                <w:rFonts w:hint="default" w:ascii="Tahoma" w:hAnsi="Tahoma" w:eastAsia="Tahoma" w:cs="Tahoma"/>
                <w:color w:val="333333"/>
                <w:sz w:val="21"/>
                <w:szCs w:val="21"/>
              </w:rPr>
            </w:pPr>
            <w:r>
              <w:rPr>
                <w:rFonts w:hint="eastAsia" w:ascii="仿宋_GB2312" w:hAnsi="仿宋_GB2312" w:eastAsia="仿宋_GB2312" w:cs="仿宋_GB2312"/>
                <w:color w:val="333333"/>
                <w:kern w:val="0"/>
                <w:sz w:val="21"/>
                <w:szCs w:val="21"/>
                <w:lang w:val="en-US" w:eastAsia="zh-CN" w:bidi="ar"/>
              </w:rPr>
              <w:t>服装与服饰设计</w:t>
            </w:r>
          </w:p>
        </w:tc>
        <w:tc>
          <w:tcPr>
            <w:tcW w:w="1311" w:type="pct"/>
            <w:tcBorders>
              <w:top w:val="nil"/>
              <w:left w:val="single" w:color="000000" w:sz="6" w:space="0"/>
              <w:bottom w:val="single" w:color="000000" w:sz="6" w:space="0"/>
              <w:right w:val="single" w:color="000000" w:sz="6" w:space="0"/>
            </w:tcBorders>
            <w:shd w:val="clear" w:color="auto" w:fill="auto"/>
            <w:tcMar>
              <w:left w:w="105" w:type="dxa"/>
              <w:right w:w="105" w:type="dxa"/>
            </w:tcMar>
            <w:vAlign w:val="center"/>
          </w:tcPr>
          <w:p w14:paraId="1DF406A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8" w:lineRule="atLeast"/>
              <w:ind w:left="0" w:right="0"/>
              <w:jc w:val="center"/>
              <w:textAlignment w:val="center"/>
              <w:rPr>
                <w:rFonts w:hint="default" w:ascii="Tahoma" w:hAnsi="Tahoma" w:eastAsia="Tahoma" w:cs="Tahoma"/>
                <w:color w:val="333333"/>
                <w:sz w:val="21"/>
                <w:szCs w:val="21"/>
              </w:rPr>
            </w:pPr>
            <w:r>
              <w:rPr>
                <w:rFonts w:hint="eastAsia" w:ascii="仿宋_GB2312" w:hAnsi="仿宋_GB2312" w:eastAsia="仿宋_GB2312" w:cs="仿宋_GB2312"/>
                <w:color w:val="333333"/>
                <w:kern w:val="0"/>
                <w:sz w:val="21"/>
                <w:szCs w:val="21"/>
                <w:lang w:val="en-US" w:eastAsia="zh-CN" w:bidi="ar"/>
              </w:rPr>
              <w:t>130505</w:t>
            </w:r>
          </w:p>
        </w:tc>
        <w:tc>
          <w:tcPr>
            <w:tcW w:w="630" w:type="pct"/>
            <w:tcBorders>
              <w:top w:val="nil"/>
              <w:left w:val="single" w:color="000000" w:sz="6" w:space="0"/>
              <w:bottom w:val="single" w:color="000000" w:sz="6" w:space="0"/>
              <w:right w:val="single" w:color="000000" w:sz="6" w:space="0"/>
            </w:tcBorders>
            <w:shd w:val="clear" w:color="auto" w:fill="auto"/>
            <w:tcMar>
              <w:left w:w="105" w:type="dxa"/>
              <w:right w:w="105" w:type="dxa"/>
            </w:tcMar>
            <w:vAlign w:val="center"/>
          </w:tcPr>
          <w:p w14:paraId="5F89622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8" w:lineRule="atLeast"/>
              <w:ind w:left="0" w:right="0"/>
              <w:jc w:val="center"/>
              <w:textAlignment w:val="center"/>
              <w:rPr>
                <w:rFonts w:hint="default" w:ascii="Tahoma" w:hAnsi="Tahoma" w:eastAsia="Tahoma" w:cs="Tahoma"/>
                <w:color w:val="333333"/>
                <w:sz w:val="21"/>
                <w:szCs w:val="21"/>
              </w:rPr>
            </w:pPr>
            <w:r>
              <w:rPr>
                <w:rFonts w:hint="eastAsia" w:ascii="仿宋_GB2312" w:hAnsi="仿宋_GB2312" w:eastAsia="仿宋_GB2312" w:cs="仿宋_GB2312"/>
                <w:color w:val="333333"/>
                <w:kern w:val="0"/>
                <w:sz w:val="21"/>
                <w:szCs w:val="21"/>
                <w:lang w:val="en-US" w:eastAsia="zh-CN" w:bidi="ar"/>
              </w:rPr>
              <w:t>2</w:t>
            </w:r>
          </w:p>
        </w:tc>
      </w:tr>
    </w:tbl>
    <w:p w14:paraId="7C96B79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8" w:lineRule="atLeast"/>
        <w:ind w:left="0" w:right="0" w:firstLine="630"/>
        <w:jc w:val="left"/>
        <w:rPr>
          <w:rFonts w:hint="default" w:ascii="Tahoma" w:hAnsi="Tahoma" w:eastAsia="Tahoma" w:cs="Tahoma"/>
          <w:color w:val="333333"/>
          <w:sz w:val="21"/>
          <w:szCs w:val="21"/>
        </w:rPr>
      </w:pPr>
      <w:r>
        <w:rPr>
          <w:rFonts w:hint="eastAsia" w:ascii="仿宋_GB2312" w:hAnsi="仿宋_GB2312" w:eastAsia="仿宋_GB2312" w:cs="仿宋_GB2312"/>
          <w:i w:val="0"/>
          <w:iCs w:val="0"/>
          <w:caps w:val="0"/>
          <w:color w:val="333333"/>
          <w:spacing w:val="0"/>
          <w:kern w:val="0"/>
          <w:sz w:val="21"/>
          <w:szCs w:val="21"/>
          <w:lang w:val="en-US" w:eastAsia="zh-CN" w:bidi="ar"/>
        </w:rPr>
        <w:t>四、报考条件　</w:t>
      </w:r>
    </w:p>
    <w:p w14:paraId="5B91678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8" w:lineRule="atLeast"/>
        <w:ind w:left="0" w:right="0" w:firstLine="630"/>
        <w:jc w:val="left"/>
        <w:rPr>
          <w:rFonts w:hint="default" w:ascii="Tahoma" w:hAnsi="Tahoma" w:eastAsia="Tahoma" w:cs="Tahoma"/>
          <w:color w:val="333333"/>
          <w:sz w:val="21"/>
          <w:szCs w:val="21"/>
        </w:rPr>
      </w:pPr>
      <w:r>
        <w:rPr>
          <w:rFonts w:hint="eastAsia" w:ascii="仿宋_GB2312" w:hAnsi="仿宋_GB2312" w:eastAsia="仿宋_GB2312" w:cs="仿宋_GB2312"/>
          <w:i w:val="0"/>
          <w:iCs w:val="0"/>
          <w:caps w:val="0"/>
          <w:color w:val="333333"/>
          <w:spacing w:val="0"/>
          <w:kern w:val="0"/>
          <w:sz w:val="21"/>
          <w:szCs w:val="21"/>
          <w:lang w:val="en-US" w:eastAsia="zh-CN" w:bidi="ar"/>
        </w:rPr>
        <w:t>考生须符合《武汉商学院2026年普通专升本招生简章》中规定的报考条件。考生所学专科专业须符合我校招生专业要求，详见招生简章中附件《武汉商学院2026年普通专升本招生专业对高职（专科）专业的报考范围要求》规定。如有特殊情况，由学校普通专升本工作领导小组办公室参照《普通高等学校高等职业教育（专科）专业目录新旧专业对照表》进行审核并提交学校普通专升本工作领导小组审议。审议通过的，可以报考。</w:t>
      </w:r>
    </w:p>
    <w:p w14:paraId="303845F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8" w:lineRule="atLeast"/>
        <w:ind w:left="0" w:right="0" w:firstLine="630"/>
        <w:jc w:val="left"/>
        <w:rPr>
          <w:rFonts w:hint="default" w:ascii="Tahoma" w:hAnsi="Tahoma" w:eastAsia="Tahoma" w:cs="Tahoma"/>
          <w:color w:val="333333"/>
          <w:sz w:val="21"/>
          <w:szCs w:val="21"/>
        </w:rPr>
      </w:pPr>
      <w:r>
        <w:rPr>
          <w:rFonts w:hint="eastAsia" w:ascii="仿宋_GB2312" w:hAnsi="仿宋_GB2312" w:eastAsia="仿宋_GB2312" w:cs="仿宋_GB2312"/>
          <w:i w:val="0"/>
          <w:iCs w:val="0"/>
          <w:caps w:val="0"/>
          <w:color w:val="333333"/>
          <w:spacing w:val="0"/>
          <w:kern w:val="0"/>
          <w:sz w:val="21"/>
          <w:szCs w:val="21"/>
          <w:lang w:val="en-US" w:eastAsia="zh-CN" w:bidi="ar"/>
        </w:rPr>
        <w:t>五、报名办法</w:t>
      </w:r>
    </w:p>
    <w:p w14:paraId="78CEB45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8" w:lineRule="atLeast"/>
        <w:ind w:left="0" w:right="0" w:firstLine="630"/>
        <w:jc w:val="left"/>
        <w:rPr>
          <w:rFonts w:hint="default" w:ascii="Tahoma" w:hAnsi="Tahoma" w:eastAsia="Tahoma" w:cs="Tahoma"/>
          <w:color w:val="333333"/>
          <w:sz w:val="21"/>
          <w:szCs w:val="21"/>
        </w:rPr>
      </w:pPr>
      <w:r>
        <w:rPr>
          <w:rFonts w:hint="eastAsia" w:ascii="仿宋_GB2312" w:hAnsi="仿宋_GB2312" w:eastAsia="仿宋_GB2312" w:cs="仿宋_GB2312"/>
          <w:i w:val="0"/>
          <w:iCs w:val="0"/>
          <w:caps w:val="0"/>
          <w:color w:val="333333"/>
          <w:spacing w:val="0"/>
          <w:kern w:val="0"/>
          <w:sz w:val="21"/>
          <w:szCs w:val="21"/>
          <w:lang w:val="en-US" w:eastAsia="zh-CN" w:bidi="ar"/>
        </w:rPr>
        <w:t>详见省教育厅2026年湖北省普通高等学校专升本工作相关通知和《武汉商学院2026年普通专升本招生简章》。考生须严格按湖北省和我校普通专升本工作相关要求进行报名，并提供相关材料参加资格审核。</w:t>
      </w:r>
    </w:p>
    <w:p w14:paraId="239DE2C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8" w:lineRule="atLeast"/>
        <w:ind w:left="0" w:right="0" w:firstLine="630"/>
        <w:jc w:val="left"/>
        <w:rPr>
          <w:rFonts w:hint="default" w:ascii="Tahoma" w:hAnsi="Tahoma" w:eastAsia="Tahoma" w:cs="Tahoma"/>
          <w:color w:val="333333"/>
          <w:sz w:val="21"/>
          <w:szCs w:val="21"/>
        </w:rPr>
      </w:pPr>
      <w:r>
        <w:rPr>
          <w:rFonts w:hint="eastAsia" w:ascii="仿宋_GB2312" w:hAnsi="仿宋_GB2312" w:eastAsia="仿宋_GB2312" w:cs="仿宋_GB2312"/>
          <w:i w:val="0"/>
          <w:iCs w:val="0"/>
          <w:caps w:val="0"/>
          <w:color w:val="333333"/>
          <w:spacing w:val="0"/>
          <w:kern w:val="0"/>
          <w:sz w:val="21"/>
          <w:szCs w:val="21"/>
          <w:lang w:val="en-US" w:eastAsia="zh-CN" w:bidi="ar"/>
        </w:rPr>
        <w:t>未经审查或审查未通过的考生不得参加职业适应性综合考查。根据省教育厅文件精神，资格审查将贯穿报名、考试、录取、报到等招生工作全过程，在整个普通专升本各工作环节中，一旦发现考生有弄虚作假、违规违纪行为，一律取消考生报名、考试、录取资格。</w:t>
      </w:r>
    </w:p>
    <w:p w14:paraId="6738173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8" w:lineRule="atLeast"/>
        <w:ind w:left="0" w:right="0" w:firstLine="630"/>
        <w:jc w:val="left"/>
        <w:rPr>
          <w:rFonts w:hint="default" w:ascii="Tahoma" w:hAnsi="Tahoma" w:eastAsia="Tahoma" w:cs="Tahoma"/>
          <w:color w:val="333333"/>
          <w:sz w:val="21"/>
          <w:szCs w:val="21"/>
        </w:rPr>
      </w:pPr>
      <w:r>
        <w:rPr>
          <w:rFonts w:hint="eastAsia" w:ascii="仿宋_GB2312" w:hAnsi="仿宋_GB2312" w:eastAsia="仿宋_GB2312" w:cs="仿宋_GB2312"/>
          <w:i w:val="0"/>
          <w:iCs w:val="0"/>
          <w:caps w:val="0"/>
          <w:color w:val="333333"/>
          <w:spacing w:val="0"/>
          <w:kern w:val="0"/>
          <w:sz w:val="21"/>
          <w:szCs w:val="21"/>
          <w:lang w:val="en-US" w:eastAsia="zh-CN" w:bidi="ar"/>
        </w:rPr>
        <w:t>六、考查与录取办法</w:t>
      </w:r>
    </w:p>
    <w:p w14:paraId="043AA48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8" w:lineRule="atLeast"/>
        <w:ind w:left="0" w:right="0" w:firstLine="630"/>
        <w:jc w:val="left"/>
        <w:rPr>
          <w:rFonts w:hint="default" w:ascii="Tahoma" w:hAnsi="Tahoma" w:eastAsia="Tahoma" w:cs="Tahoma"/>
          <w:color w:val="333333"/>
          <w:sz w:val="21"/>
          <w:szCs w:val="21"/>
        </w:rPr>
      </w:pPr>
      <w:r>
        <w:rPr>
          <w:rFonts w:hint="eastAsia" w:ascii="仿宋_GB2312" w:hAnsi="仿宋_GB2312" w:eastAsia="仿宋_GB2312" w:cs="仿宋_GB2312"/>
          <w:i w:val="0"/>
          <w:iCs w:val="0"/>
          <w:caps w:val="0"/>
          <w:color w:val="333333"/>
          <w:spacing w:val="0"/>
          <w:kern w:val="0"/>
          <w:sz w:val="21"/>
          <w:szCs w:val="21"/>
          <w:lang w:val="en-US" w:eastAsia="zh-CN" w:bidi="ar"/>
        </w:rPr>
        <w:t>（一）考查方式</w:t>
      </w:r>
    </w:p>
    <w:p w14:paraId="5AD638F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8" w:lineRule="atLeast"/>
        <w:ind w:left="0" w:right="0" w:firstLine="630"/>
        <w:jc w:val="left"/>
        <w:rPr>
          <w:rFonts w:hint="default" w:ascii="Tahoma" w:hAnsi="Tahoma" w:eastAsia="Tahoma" w:cs="Tahoma"/>
          <w:color w:val="333333"/>
          <w:sz w:val="21"/>
          <w:szCs w:val="21"/>
        </w:rPr>
      </w:pPr>
      <w:r>
        <w:rPr>
          <w:rFonts w:hint="eastAsia" w:ascii="仿宋_GB2312" w:hAnsi="仿宋_GB2312" w:eastAsia="仿宋_GB2312" w:cs="仿宋_GB2312"/>
          <w:i w:val="0"/>
          <w:iCs w:val="0"/>
          <w:caps w:val="0"/>
          <w:color w:val="333333"/>
          <w:spacing w:val="0"/>
          <w:kern w:val="0"/>
          <w:sz w:val="21"/>
          <w:szCs w:val="21"/>
          <w:lang w:val="en-US" w:eastAsia="zh-CN" w:bidi="ar"/>
        </w:rPr>
        <w:t>笔试，考试时长为120分钟。</w:t>
      </w:r>
    </w:p>
    <w:p w14:paraId="3782BD9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8" w:lineRule="atLeast"/>
        <w:ind w:left="0" w:right="0" w:firstLine="630"/>
        <w:jc w:val="left"/>
        <w:rPr>
          <w:rFonts w:hint="default" w:ascii="Tahoma" w:hAnsi="Tahoma" w:eastAsia="Tahoma" w:cs="Tahoma"/>
          <w:color w:val="333333"/>
          <w:sz w:val="21"/>
          <w:szCs w:val="21"/>
        </w:rPr>
      </w:pPr>
      <w:r>
        <w:rPr>
          <w:rFonts w:hint="eastAsia" w:ascii="仿宋_GB2312" w:hAnsi="仿宋_GB2312" w:eastAsia="仿宋_GB2312" w:cs="仿宋_GB2312"/>
          <w:i w:val="0"/>
          <w:iCs w:val="0"/>
          <w:caps w:val="0"/>
          <w:color w:val="333333"/>
          <w:spacing w:val="0"/>
          <w:kern w:val="0"/>
          <w:sz w:val="21"/>
          <w:szCs w:val="21"/>
          <w:lang w:val="en-US" w:eastAsia="zh-CN" w:bidi="ar"/>
        </w:rPr>
        <w:t>（二）考查要点</w:t>
      </w:r>
    </w:p>
    <w:p w14:paraId="6CEEEA0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8" w:lineRule="atLeast"/>
        <w:ind w:left="0" w:right="0" w:firstLine="630"/>
        <w:jc w:val="left"/>
        <w:rPr>
          <w:rFonts w:hint="default" w:ascii="Tahoma" w:hAnsi="Tahoma" w:eastAsia="Tahoma" w:cs="Tahoma"/>
          <w:color w:val="333333"/>
          <w:sz w:val="21"/>
          <w:szCs w:val="21"/>
        </w:rPr>
      </w:pPr>
      <w:r>
        <w:rPr>
          <w:rFonts w:hint="eastAsia" w:ascii="仿宋_GB2312" w:hAnsi="仿宋_GB2312" w:eastAsia="仿宋_GB2312" w:cs="仿宋_GB2312"/>
          <w:i w:val="0"/>
          <w:iCs w:val="0"/>
          <w:caps w:val="0"/>
          <w:color w:val="333333"/>
          <w:spacing w:val="0"/>
          <w:kern w:val="0"/>
          <w:sz w:val="21"/>
          <w:szCs w:val="21"/>
          <w:lang w:val="en-US" w:eastAsia="zh-CN" w:bidi="ar"/>
        </w:rPr>
        <w:t>主要考查时事政治、职业素养和专业认知。</w:t>
      </w:r>
    </w:p>
    <w:p w14:paraId="477F259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8" w:lineRule="atLeast"/>
        <w:ind w:left="0" w:right="0" w:firstLine="630"/>
        <w:jc w:val="left"/>
        <w:rPr>
          <w:rFonts w:hint="default" w:ascii="Tahoma" w:hAnsi="Tahoma" w:eastAsia="Tahoma" w:cs="Tahoma"/>
          <w:color w:val="333333"/>
          <w:sz w:val="21"/>
          <w:szCs w:val="21"/>
        </w:rPr>
      </w:pPr>
      <w:r>
        <w:rPr>
          <w:rFonts w:hint="eastAsia" w:ascii="仿宋_GB2312" w:hAnsi="仿宋_GB2312" w:eastAsia="仿宋_GB2312" w:cs="仿宋_GB2312"/>
          <w:i w:val="0"/>
          <w:iCs w:val="0"/>
          <w:caps w:val="0"/>
          <w:color w:val="333333"/>
          <w:spacing w:val="0"/>
          <w:kern w:val="0"/>
          <w:sz w:val="21"/>
          <w:szCs w:val="21"/>
          <w:lang w:val="en-US" w:eastAsia="zh-CN" w:bidi="ar"/>
        </w:rPr>
        <w:t>（三）分值分配</w:t>
      </w:r>
    </w:p>
    <w:p w14:paraId="2062684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8" w:lineRule="atLeast"/>
        <w:ind w:left="0" w:right="0" w:firstLine="630"/>
        <w:jc w:val="left"/>
        <w:rPr>
          <w:rFonts w:hint="default" w:ascii="Tahoma" w:hAnsi="Tahoma" w:eastAsia="Tahoma" w:cs="Tahoma"/>
          <w:color w:val="333333"/>
          <w:sz w:val="21"/>
          <w:szCs w:val="21"/>
        </w:rPr>
      </w:pPr>
      <w:r>
        <w:rPr>
          <w:rFonts w:hint="eastAsia" w:ascii="仿宋_GB2312" w:hAnsi="仿宋_GB2312" w:eastAsia="仿宋_GB2312" w:cs="仿宋_GB2312"/>
          <w:i w:val="0"/>
          <w:iCs w:val="0"/>
          <w:caps w:val="0"/>
          <w:color w:val="333333"/>
          <w:spacing w:val="0"/>
          <w:kern w:val="0"/>
          <w:sz w:val="21"/>
          <w:szCs w:val="21"/>
          <w:lang w:val="en-US" w:eastAsia="zh-CN" w:bidi="ar"/>
        </w:rPr>
        <w:t>职业适应性综合考查笔试满分100分，其中：时事政治50分、职业素养30分、专业认知20分。</w:t>
      </w:r>
    </w:p>
    <w:p w14:paraId="714E296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8" w:lineRule="atLeast"/>
        <w:ind w:left="0" w:right="0" w:firstLine="630"/>
        <w:jc w:val="left"/>
        <w:rPr>
          <w:rFonts w:hint="default" w:ascii="Tahoma" w:hAnsi="Tahoma" w:eastAsia="Tahoma" w:cs="Tahoma"/>
          <w:color w:val="333333"/>
          <w:sz w:val="21"/>
          <w:szCs w:val="21"/>
        </w:rPr>
      </w:pPr>
      <w:r>
        <w:rPr>
          <w:rFonts w:hint="eastAsia" w:ascii="仿宋_GB2312" w:hAnsi="仿宋_GB2312" w:eastAsia="仿宋_GB2312" w:cs="仿宋_GB2312"/>
          <w:i w:val="0"/>
          <w:iCs w:val="0"/>
          <w:caps w:val="0"/>
          <w:color w:val="333333"/>
          <w:spacing w:val="0"/>
          <w:kern w:val="0"/>
          <w:sz w:val="21"/>
          <w:szCs w:val="21"/>
          <w:lang w:val="en-US" w:eastAsia="zh-CN" w:bidi="ar"/>
        </w:rPr>
        <w:t>七、成绩查询与复核</w:t>
      </w:r>
    </w:p>
    <w:p w14:paraId="20D93B1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8" w:lineRule="atLeast"/>
        <w:ind w:left="0" w:right="0" w:firstLine="630"/>
        <w:jc w:val="left"/>
        <w:rPr>
          <w:rFonts w:hint="default" w:ascii="Tahoma" w:hAnsi="Tahoma" w:eastAsia="Tahoma" w:cs="Tahoma"/>
          <w:color w:val="333333"/>
          <w:sz w:val="21"/>
          <w:szCs w:val="21"/>
        </w:rPr>
      </w:pPr>
      <w:r>
        <w:rPr>
          <w:rFonts w:hint="eastAsia" w:ascii="仿宋_GB2312" w:hAnsi="仿宋_GB2312" w:eastAsia="仿宋_GB2312" w:cs="仿宋_GB2312"/>
          <w:i w:val="0"/>
          <w:iCs w:val="0"/>
          <w:caps w:val="0"/>
          <w:color w:val="333333"/>
          <w:spacing w:val="0"/>
          <w:kern w:val="0"/>
          <w:sz w:val="21"/>
          <w:szCs w:val="21"/>
          <w:lang w:val="en-US" w:eastAsia="zh-CN" w:bidi="ar"/>
        </w:rPr>
        <w:t>我校成绩查询时间定于4月24日。成绩公布后，考生可在我校教务处主页“系统登录”专栏的专升本考务系统中查询考试成绩。“普通专升本”专栏将发布成绩复核通知。考生如对自己的考试成绩有疑问，可按规定程序申请复核。</w:t>
      </w:r>
    </w:p>
    <w:p w14:paraId="70AFCE0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8" w:lineRule="atLeast"/>
        <w:ind w:left="0" w:right="0" w:firstLine="630"/>
        <w:jc w:val="left"/>
        <w:rPr>
          <w:rFonts w:hint="default" w:ascii="Tahoma" w:hAnsi="Tahoma" w:eastAsia="Tahoma" w:cs="Tahoma"/>
          <w:color w:val="333333"/>
          <w:sz w:val="21"/>
          <w:szCs w:val="21"/>
        </w:rPr>
      </w:pPr>
      <w:r>
        <w:rPr>
          <w:rFonts w:hint="eastAsia" w:ascii="仿宋_GB2312" w:hAnsi="仿宋_GB2312" w:eastAsia="仿宋_GB2312" w:cs="仿宋_GB2312"/>
          <w:i w:val="0"/>
          <w:iCs w:val="0"/>
          <w:caps w:val="0"/>
          <w:color w:val="333333"/>
          <w:spacing w:val="0"/>
          <w:kern w:val="0"/>
          <w:sz w:val="21"/>
          <w:szCs w:val="21"/>
          <w:lang w:val="en-US" w:eastAsia="zh-CN" w:bidi="ar"/>
        </w:rPr>
        <w:t>八、录取原则</w:t>
      </w:r>
    </w:p>
    <w:p w14:paraId="4789B391">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8" w:lineRule="atLeast"/>
        <w:ind w:left="0" w:right="0" w:firstLine="630"/>
        <w:rPr>
          <w:rFonts w:hint="default" w:ascii="Tahoma" w:hAnsi="Tahoma" w:eastAsia="Tahoma" w:cs="Tahoma"/>
          <w:color w:val="333333"/>
          <w:sz w:val="21"/>
          <w:szCs w:val="21"/>
        </w:rPr>
      </w:pPr>
      <w:r>
        <w:rPr>
          <w:rFonts w:hint="eastAsia" w:ascii="仿宋_GB2312" w:hAnsi="仿宋_GB2312" w:eastAsia="仿宋_GB2312" w:cs="仿宋_GB2312"/>
          <w:i w:val="0"/>
          <w:iCs w:val="0"/>
          <w:caps w:val="0"/>
          <w:color w:val="333333"/>
          <w:spacing w:val="0"/>
          <w:sz w:val="21"/>
          <w:szCs w:val="21"/>
        </w:rPr>
        <w:t>（一）免试录取。申请免于参加综合考查且资格审查符合条件的退役大学生士兵考生优先录取。</w:t>
      </w:r>
    </w:p>
    <w:p w14:paraId="3ED8E940">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8" w:lineRule="atLeast"/>
        <w:ind w:left="0" w:right="0" w:firstLine="630"/>
        <w:rPr>
          <w:rFonts w:hint="default" w:ascii="Tahoma" w:hAnsi="Tahoma" w:eastAsia="Tahoma" w:cs="Tahoma"/>
          <w:color w:val="333333"/>
          <w:sz w:val="21"/>
          <w:szCs w:val="21"/>
        </w:rPr>
      </w:pPr>
      <w:r>
        <w:rPr>
          <w:rFonts w:hint="eastAsia" w:ascii="仿宋_GB2312" w:hAnsi="仿宋_GB2312" w:eastAsia="仿宋_GB2312" w:cs="仿宋_GB2312"/>
          <w:i w:val="0"/>
          <w:iCs w:val="0"/>
          <w:caps w:val="0"/>
          <w:color w:val="333333"/>
          <w:spacing w:val="0"/>
          <w:sz w:val="21"/>
          <w:szCs w:val="21"/>
        </w:rPr>
        <w:t>（二）第一轮录取。按职业适应性综合考查成绩从高到低排序录取，直至完成计划。最后一名成绩相同则全部录取。</w:t>
      </w:r>
    </w:p>
    <w:p w14:paraId="2BA08408">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8" w:lineRule="atLeast"/>
        <w:ind w:left="0" w:right="0" w:firstLine="630"/>
        <w:rPr>
          <w:rFonts w:hint="default" w:ascii="Tahoma" w:hAnsi="Tahoma" w:eastAsia="Tahoma" w:cs="Tahoma"/>
          <w:color w:val="333333"/>
          <w:sz w:val="21"/>
          <w:szCs w:val="21"/>
        </w:rPr>
      </w:pPr>
      <w:r>
        <w:rPr>
          <w:rFonts w:hint="eastAsia" w:ascii="仿宋_GB2312" w:hAnsi="仿宋_GB2312" w:eastAsia="仿宋_GB2312" w:cs="仿宋_GB2312"/>
          <w:i w:val="0"/>
          <w:iCs w:val="0"/>
          <w:caps w:val="0"/>
          <w:color w:val="333333"/>
          <w:spacing w:val="0"/>
          <w:sz w:val="21"/>
          <w:szCs w:val="21"/>
        </w:rPr>
        <w:t>（三）补录。第一轮录取结束后，如果我校已完成招生计划，则不再进行补录。如果我校退役大学生士兵计划未完成，则待省教育厅在专升本报名平台公布我校补录计划后，第一轮未被录取的考生，可根据补录计划，对照我校招生简章要求进行补录报名。第一轮已被录取的考生不得再参加补录报名。学校将通过面试进行综合评价，择优录取。</w:t>
      </w:r>
    </w:p>
    <w:p w14:paraId="6F66AC6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8" w:lineRule="atLeast"/>
        <w:ind w:left="0" w:right="0" w:firstLine="630"/>
        <w:jc w:val="left"/>
        <w:rPr>
          <w:rFonts w:hint="default" w:ascii="Tahoma" w:hAnsi="Tahoma" w:eastAsia="Tahoma" w:cs="Tahoma"/>
          <w:color w:val="333333"/>
          <w:sz w:val="21"/>
          <w:szCs w:val="21"/>
        </w:rPr>
      </w:pPr>
      <w:r>
        <w:rPr>
          <w:rFonts w:hint="eastAsia" w:ascii="仿宋_GB2312" w:hAnsi="仿宋_GB2312" w:eastAsia="仿宋_GB2312" w:cs="仿宋_GB2312"/>
          <w:i w:val="0"/>
          <w:iCs w:val="0"/>
          <w:caps w:val="0"/>
          <w:color w:val="333333"/>
          <w:spacing w:val="0"/>
          <w:kern w:val="0"/>
          <w:sz w:val="21"/>
          <w:szCs w:val="21"/>
          <w:lang w:val="en-US" w:eastAsia="zh-CN" w:bidi="ar"/>
        </w:rPr>
        <w:t>（四）应届毕业生考生在7月31日前未取得专科毕业证书的，取消录取资格。凡录取后未报到、自行放弃入学资格的考生，此后不再享受免试专升本招生政策。</w:t>
      </w:r>
    </w:p>
    <w:p w14:paraId="537A907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8" w:lineRule="atLeast"/>
        <w:ind w:left="0" w:right="0" w:firstLine="630"/>
        <w:jc w:val="left"/>
        <w:rPr>
          <w:rFonts w:hint="default" w:ascii="Tahoma" w:hAnsi="Tahoma" w:eastAsia="Tahoma" w:cs="Tahoma"/>
          <w:color w:val="333333"/>
          <w:sz w:val="21"/>
          <w:szCs w:val="21"/>
        </w:rPr>
      </w:pPr>
      <w:r>
        <w:rPr>
          <w:rFonts w:hint="eastAsia" w:ascii="仿宋_GB2312" w:hAnsi="仿宋_GB2312" w:eastAsia="仿宋_GB2312" w:cs="仿宋_GB2312"/>
          <w:i w:val="0"/>
          <w:iCs w:val="0"/>
          <w:caps w:val="0"/>
          <w:color w:val="333333"/>
          <w:spacing w:val="0"/>
          <w:kern w:val="0"/>
          <w:sz w:val="21"/>
          <w:szCs w:val="21"/>
          <w:lang w:val="en-US" w:eastAsia="zh-CN" w:bidi="ar"/>
        </w:rPr>
        <w:t>九、违规处理</w:t>
      </w:r>
    </w:p>
    <w:p w14:paraId="545D3271">
      <w:r>
        <w:rPr>
          <w:rFonts w:hint="eastAsia" w:ascii="仿宋_GB2312" w:hAnsi="仿宋_GB2312" w:eastAsia="仿宋_GB2312" w:cs="仿宋_GB2312"/>
          <w:i w:val="0"/>
          <w:iCs w:val="0"/>
          <w:caps w:val="0"/>
          <w:color w:val="333333"/>
          <w:spacing w:val="0"/>
          <w:kern w:val="0"/>
          <w:sz w:val="21"/>
          <w:szCs w:val="21"/>
          <w:lang w:val="en-US" w:eastAsia="zh-CN" w:bidi="ar"/>
        </w:rPr>
        <w:t>       凡是在退役大学生士兵专升本招生工作中违规的考生及工作人员，按照《国家教育考试违规处理办法》（教育部令第33号）处理。</w:t>
      </w:r>
      <w:bookmarkStart w:id="0" w:name="_GoBack"/>
      <w:bookmarkEnd w:id="0"/>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Tahoma">
    <w:panose1 w:val="020B0604030504040204"/>
    <w:charset w:val="00"/>
    <w:family w:val="auto"/>
    <w:pitch w:val="default"/>
    <w:sig w:usb0="E1002EFF" w:usb1="C000605B" w:usb2="00000029" w:usb3="00000000" w:csb0="200101FF" w:csb1="20280000"/>
  </w:font>
  <w:font w:name="仿宋_GB2312">
    <w:panose1 w:val="02010609030101010101"/>
    <w:charset w:val="86"/>
    <w:family w:val="auto"/>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1BDE0673"/>
    <w:rsid w:val="1BDE067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uiPriority w:val="0"/>
  </w:style>
  <w:style w:type="table" w:default="1" w:styleId="3">
    <w:name w:val="Normal Table"/>
    <w:semiHidden/>
    <w:uiPriority w:val="0"/>
    <w:tblPr>
      <w:tblCellMar>
        <w:top w:w="0" w:type="dxa"/>
        <w:left w:w="108" w:type="dxa"/>
        <w:bottom w:w="0" w:type="dxa"/>
        <w:right w:w="108" w:type="dxa"/>
      </w:tblCellMar>
    </w:tblPr>
  </w:style>
  <w:style w:type="paragraph" w:styleId="2">
    <w:name w:val="Normal (Web)"/>
    <w:basedOn w:val="1"/>
    <w:qFormat/>
    <w:uiPriority w:val="0"/>
    <w:pPr>
      <w:spacing w:before="0" w:beforeAutospacing="1" w:after="0" w:afterAutospacing="1"/>
      <w:ind w:left="0" w:right="0"/>
      <w:jc w:val="left"/>
    </w:pPr>
    <w:rPr>
      <w:kern w:val="0"/>
      <w:sz w:val="24"/>
      <w:lang w:val="en-US" w:eastAsia="zh-CN" w:bidi="ar"/>
    </w:rPr>
  </w:style>
  <w:style w:type="character" w:styleId="5">
    <w:name w:val="Strong"/>
    <w:basedOn w:val="4"/>
    <w:qFormat/>
    <w:uiPriority w:val="0"/>
    <w:rPr>
      <w:b/>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3</Pages>
  <Words>0</Words>
  <Characters>0</Characters>
  <Lines>0</Lines>
  <Paragraphs>0</Paragraphs>
  <TotalTime>0</TotalTime>
  <ScaleCrop>false</ScaleCrop>
  <LinksUpToDate>false</LinksUpToDate>
  <CharactersWithSpaces>0</CharactersWithSpaces>
  <Application>WPS Office_12.1.0.24657_F1E327BC-269C-435d-A152-05C5408002CA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2026-01-30T03:10:00Z</dcterms:created>
  <dc:creator>Waldeinsamkeit</dc:creator>
  <cp:lastModifiedBy>Waldeinsamkeit</cp:lastModifiedBy>
  <dcterms:modified xsi:type="dcterms:W3CDTF">2026-01-30T03:10:56Z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2052-12.1.0.24657</vt:lpwstr>
  </property>
  <property fmtid="{D5CDD505-2E9C-101B-9397-08002B2CF9AE}" pid="3" name="ICV">
    <vt:lpwstr>3B89A03A282741989207F041E550A720_11</vt:lpwstr>
  </property>
  <property fmtid="{D5CDD505-2E9C-101B-9397-08002B2CF9AE}" pid="4" name="KSOTemplateDocerSaveRecord">
    <vt:lpwstr>eyJoZGlkIjoiMzYwYjVmMzA4ZmNjOGE4ZjAwMjUxOTgxZjQyNmQ4ZGUiLCJ1c2VySWQiOiIyNjkwMTYzNjQifQ==</vt:lpwstr>
  </property>
</Properties>
</file>