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81F2F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 附件1</w:t>
      </w:r>
    </w:p>
    <w:p w14:paraId="33012C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i w:val="0"/>
          <w:iCs w:val="0"/>
          <w:caps w:val="0"/>
          <w:color w:val="333333"/>
          <w:spacing w:val="0"/>
          <w:kern w:val="0"/>
          <w:sz w:val="21"/>
          <w:szCs w:val="21"/>
          <w:lang w:val="en-US" w:eastAsia="zh-CN" w:bidi="ar"/>
        </w:rPr>
        <w:t> </w:t>
      </w:r>
    </w:p>
    <w:p w14:paraId="3EFC61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Style w:val="4"/>
          <w:rFonts w:hint="eastAsia" w:ascii="仿宋_GB2312" w:hAnsi="仿宋_GB2312" w:eastAsia="仿宋_GB2312" w:cs="仿宋_GB2312"/>
          <w:i w:val="0"/>
          <w:iCs w:val="0"/>
          <w:caps w:val="0"/>
          <w:color w:val="333333"/>
          <w:spacing w:val="0"/>
          <w:kern w:val="0"/>
          <w:sz w:val="21"/>
          <w:szCs w:val="21"/>
          <w:lang w:val="en-US" w:eastAsia="zh-CN" w:bidi="ar"/>
        </w:rPr>
        <w:t>武汉商学院2026年普通专升本招生专业对</w:t>
      </w:r>
    </w:p>
    <w:p w14:paraId="669CC0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Style w:val="4"/>
          <w:rFonts w:hint="eastAsia" w:ascii="仿宋_GB2312" w:hAnsi="仿宋_GB2312" w:eastAsia="仿宋_GB2312" w:cs="仿宋_GB2312"/>
          <w:i w:val="0"/>
          <w:iCs w:val="0"/>
          <w:caps w:val="0"/>
          <w:color w:val="333333"/>
          <w:spacing w:val="0"/>
          <w:kern w:val="0"/>
          <w:sz w:val="21"/>
          <w:szCs w:val="21"/>
          <w:lang w:val="en-US" w:eastAsia="zh-CN" w:bidi="ar"/>
        </w:rPr>
        <w:t>高职（专科）专业的报考范围要求</w:t>
      </w:r>
    </w:p>
    <w:tbl>
      <w:tblPr>
        <w:tblStyle w:val="2"/>
        <w:tblW w:w="4999" w:type="pct"/>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2176"/>
        <w:gridCol w:w="6338"/>
      </w:tblGrid>
      <w:tr w14:paraId="4BF2052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trHeight w:val="585" w:hRule="atLeast"/>
          <w:jc w:val="center"/>
        </w:trPr>
        <w:tc>
          <w:tcPr>
            <w:tcW w:w="1278" w:type="pct"/>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7540CF7D">
            <w:pPr>
              <w:keepNext w:val="0"/>
              <w:keepLines w:val="0"/>
              <w:widowControl/>
              <w:suppressLineNumbers w:val="0"/>
              <w:pBdr>
                <w:top w:val="none" w:color="auto" w:sz="0" w:space="0"/>
                <w:left w:val="none" w:color="auto" w:sz="0" w:space="0"/>
                <w:bottom w:val="none" w:color="auto" w:sz="0" w:space="0"/>
                <w:right w:val="none" w:color="auto" w:sz="0" w:space="0"/>
              </w:pBdr>
              <w:wordWrap w:val="0"/>
              <w:spacing w:before="0" w:beforeAutospacing="0" w:after="0" w:afterAutospacing="0" w:line="368" w:lineRule="atLeast"/>
              <w:ind w:left="0" w:right="0"/>
              <w:jc w:val="center"/>
              <w:rPr>
                <w:rFonts w:hint="default" w:ascii="Tahoma" w:hAnsi="Tahoma" w:eastAsia="Tahoma" w:cs="Tahoma"/>
                <w:color w:val="333333"/>
                <w:sz w:val="21"/>
                <w:szCs w:val="21"/>
              </w:rPr>
            </w:pPr>
            <w:r>
              <w:rPr>
                <w:rStyle w:val="4"/>
                <w:rFonts w:hint="eastAsia" w:ascii="仿宋_GB2312" w:hAnsi="仿宋_GB2312" w:eastAsia="仿宋_GB2312" w:cs="仿宋_GB2312"/>
                <w:color w:val="333333"/>
                <w:kern w:val="0"/>
                <w:sz w:val="21"/>
                <w:szCs w:val="21"/>
                <w:lang w:val="en-US" w:eastAsia="zh-CN" w:bidi="ar"/>
              </w:rPr>
              <w:t>招生本科专业</w:t>
            </w:r>
          </w:p>
        </w:tc>
        <w:tc>
          <w:tcPr>
            <w:tcW w:w="3721" w:type="pct"/>
            <w:tcBorders>
              <w:top w:val="single" w:color="000000" w:sz="6" w:space="0"/>
              <w:left w:val="single" w:color="000000" w:sz="6" w:space="0"/>
              <w:bottom w:val="single" w:color="000000" w:sz="6" w:space="0"/>
              <w:right w:val="single" w:color="000000" w:sz="6" w:space="0"/>
            </w:tcBorders>
            <w:shd w:val="clear" w:color="auto" w:fill="auto"/>
            <w:tcMar>
              <w:left w:w="105" w:type="dxa"/>
              <w:right w:w="105" w:type="dxa"/>
            </w:tcMar>
            <w:vAlign w:val="center"/>
          </w:tcPr>
          <w:p w14:paraId="687AE0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rPr>
                <w:rFonts w:hint="default" w:ascii="Tahoma" w:hAnsi="Tahoma" w:eastAsia="Tahoma" w:cs="Tahoma"/>
                <w:color w:val="333333"/>
                <w:sz w:val="21"/>
                <w:szCs w:val="21"/>
              </w:rPr>
            </w:pPr>
            <w:r>
              <w:rPr>
                <w:rStyle w:val="4"/>
                <w:rFonts w:hint="eastAsia" w:ascii="仿宋_GB2312" w:hAnsi="仿宋_GB2312" w:eastAsia="仿宋_GB2312" w:cs="仿宋_GB2312"/>
                <w:color w:val="333333"/>
                <w:kern w:val="0"/>
                <w:sz w:val="21"/>
                <w:szCs w:val="21"/>
                <w:lang w:val="en-US" w:eastAsia="zh-CN" w:bidi="ar"/>
              </w:rPr>
              <w:t>对应招收高职高专专业</w:t>
            </w:r>
          </w:p>
        </w:tc>
      </w:tr>
      <w:tr w14:paraId="1E021D1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278"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2C10F2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软件工程</w:t>
            </w:r>
          </w:p>
        </w:tc>
        <w:tc>
          <w:tcPr>
            <w:tcW w:w="3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1A86AB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软件技术、计算机应用技术、人工智能技术应用、大数据技术、数字媒体技术、移动应用开发、信息安全技术应用、云计算技术应用、区块链技术应用、虚拟现实技术应用、物联网应用技术（备注：仅限于以上专业报考）</w:t>
            </w:r>
          </w:p>
        </w:tc>
      </w:tr>
      <w:tr w14:paraId="2216756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278"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548049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物联网工程</w:t>
            </w:r>
          </w:p>
        </w:tc>
        <w:tc>
          <w:tcPr>
            <w:tcW w:w="3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6553CF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物联网应用技术、智能网联汽车技术、智能产品开发与应用、计算机应用技术、计算机网络技术、软件技术、数字媒体技术、大数据技术、云计算技术应用、信息安全技术应用、虚拟现实技术应用、人工智能技术应用、嵌入式技术应用、工业互联网技术、区块链技术应用、移动应用开发、智能制造装备技术、机电一体化技术、智能机电技术、智能控制技术、智能机器人技术、工业机器人技术、电气自动化技术、工业过程自动化技术、工业自动化仪表技术、液压与气动技术、工业互联网应用、计量测试与应用技术、电子信息工程技术、应用电子技术、电子产品制造技术、电子产品检测技术、移动互联应用技术、汽车智能技术、智能光电技术应用、工业软件开发技术、现代通信技术、现代移动通信技术、通信软件技术、智能互联网络技术、网络规划与优化技术、集成电路技术、微电子技术（备注：仅限于以上专业报考）</w:t>
            </w:r>
          </w:p>
        </w:tc>
      </w:tr>
      <w:tr w14:paraId="6399020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1278"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631BE5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建筑环境与能源应用工程</w:t>
            </w:r>
          </w:p>
        </w:tc>
        <w:tc>
          <w:tcPr>
            <w:tcW w:w="3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D173C5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制冷与空调技术、供热通风与空调工程技术、现代物业管理、建筑设备工程技术、建筑工程技术、冷链物流技术与管理、发电厂及电力系统、工程造价、建设工程管理、工业节能技术、建筑电气工程技术、城市燃气工程技术、管道工程技术、智能建造技术、汽车制造与试验技术（备注：仅限于以上专业报考）</w:t>
            </w:r>
          </w:p>
        </w:tc>
      </w:tr>
      <w:tr w14:paraId="4A61D91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90" w:hRule="atLeast"/>
          <w:jc w:val="center"/>
        </w:trPr>
        <w:tc>
          <w:tcPr>
            <w:tcW w:w="1278"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85369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食品质量与安全</w:t>
            </w:r>
          </w:p>
        </w:tc>
        <w:tc>
          <w:tcPr>
            <w:tcW w:w="3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F381F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食品智能加工技术、食品质量与安全、食品营养与健康、食品检验检测技术、酿酒技术、食品贮运与营销、食品药品监督管理、保健食品质量与管理、粮食工程技术与管理、粮食储运与质量安全、餐饮智能管理、烹饪工艺与营养、中西面点工艺、西式烹饪工艺、营养配餐、食用菌生产与加工技术、农产品加工与质量检测、绿色食品生产技术、农产品流通与管理、食品生物技术、绿色生物制造技术、生物信息技术（备注：仅限于以上专业报考）</w:t>
            </w:r>
          </w:p>
        </w:tc>
      </w:tr>
      <w:tr w14:paraId="32035D0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278"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1A8731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烹饪与营养教育</w:t>
            </w:r>
          </w:p>
        </w:tc>
        <w:tc>
          <w:tcPr>
            <w:tcW w:w="3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6C0F20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烹饪工艺与营养、中西面点工艺、西式烹饪工艺、营养配餐、餐饮智能管理、食品智能加工技术、食品检验检测技术、食品营养与健康、保健食品质量与管理、健康管理、医学营养、中医养生保健、药膳与食疗、绿色食品生产技术、食用菌生产与加工技术、食品质量与安全、酿酒技术、食品贮运与营销、农产品加工与质量检测、农产品流通与管理、粮食工程技术与管理、粮食储运与质量安全（备注：仅限于以上专业报考）</w:t>
            </w:r>
          </w:p>
        </w:tc>
      </w:tr>
      <w:tr w14:paraId="700EC1C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278"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3DEC376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大数据管理与应用</w:t>
            </w:r>
          </w:p>
        </w:tc>
        <w:tc>
          <w:tcPr>
            <w:tcW w:w="3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6DCED2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工商企业管理、市场营销、商务管理、中小企业创业与经营、数智营销、计算机应用技术、数字媒体技术、大数据技术、人工智能技术应用、人工智能数据工程技术、商务数据分析与应用（备注：仅限于以上专业报考）</w:t>
            </w:r>
          </w:p>
        </w:tc>
      </w:tr>
      <w:tr w14:paraId="4B9CF67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278"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B57C5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会计学</w:t>
            </w:r>
          </w:p>
        </w:tc>
        <w:tc>
          <w:tcPr>
            <w:tcW w:w="3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619B27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大数据与财务管理、大数据与会计、大数据与审计、会计信息管理、业财数据应用与管理、智能财务系统应用与运维、财税大数据应用、资产评估与管理、政府采购管理、财政支出绩效管理、统计与会计核算、金融服务与管理、金融科技应用、保险实务、信用管理、财富管理、证券实务、国际金融、农村金融、工商企业管理、连锁经营与管理、商务管理、中小企业创业与经营、市场营销、数智营销（备注：仅限于以上专业报考）</w:t>
            </w:r>
          </w:p>
        </w:tc>
      </w:tr>
      <w:tr w14:paraId="75CE98A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1200" w:hRule="atLeast"/>
          <w:jc w:val="center"/>
        </w:trPr>
        <w:tc>
          <w:tcPr>
            <w:tcW w:w="1278"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181CEE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国际商务</w:t>
            </w:r>
          </w:p>
        </w:tc>
        <w:tc>
          <w:tcPr>
            <w:tcW w:w="3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AE88A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国际经济与贸易、国际商务、关务与外贸服务、服务外包、国际文化贸易、国际服务贸易、工商企业管理、商务管理、连锁经营与管理、市场营销、数智营销、国际金融、电子商务、跨境电子商务、现代物流管理、供应链运营（备注：仅限于以上专业报考）</w:t>
            </w:r>
          </w:p>
        </w:tc>
      </w:tr>
      <w:tr w14:paraId="0B72DDD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278"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3B698E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人力资源管理</w:t>
            </w:r>
          </w:p>
        </w:tc>
        <w:tc>
          <w:tcPr>
            <w:tcW w:w="3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3078AD0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人力资源管理、劳动与社会保障、公共事务管理、行政管理、职业指导与服务、劳动关系管理与服务、工商企业管理、连锁经营与管理、商务管理、市场营销、中小企业创业与经营、心理咨询、现代文秘（备注：仅限于以上专业报考）</w:t>
            </w:r>
          </w:p>
        </w:tc>
      </w:tr>
      <w:tr w14:paraId="6EDFD25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278"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F1E73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零售业管理</w:t>
            </w:r>
          </w:p>
        </w:tc>
        <w:tc>
          <w:tcPr>
            <w:tcW w:w="3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37218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市场营销、连锁经营与管理、商务管理、工商企业管理、中小企业创业与经营、全媒体广告策划与营销、国际经济与贸易、国际商务、网络营销与直播电商、移动商务、电子商务、跨境电子商务、供应链运营、数智营销、商务数据分析与应用、传播与策划、农村电子商务（备注：仅限于以上专业报考）</w:t>
            </w:r>
          </w:p>
        </w:tc>
      </w:tr>
      <w:tr w14:paraId="71EAB97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278"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7E96AF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电子商务</w:t>
            </w:r>
          </w:p>
        </w:tc>
        <w:tc>
          <w:tcPr>
            <w:tcW w:w="3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713B3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电子商务、跨境电子商务、移动商务、网络营销与直播电商、农村电子商务、商务数据分析与应用、计算机应用技术、计算机网络技术、软件技术、数字媒体技术、大数据技术、云计算技术应用、信息安全技术应用、虚拟现实技术应用、人工智能技术应用、物流工程技术、现代物流管理、工程物流管理、智能物流技术、供应链运营、国际经济与贸易、国际商务、工商企业管理、连锁经营与管理、商务管理、中小企业创业与经营、市场营销、数智营销（备注：仅限于以上专业报考）</w:t>
            </w:r>
          </w:p>
        </w:tc>
      </w:tr>
      <w:tr w14:paraId="5829792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278"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66681E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酒店管理</w:t>
            </w:r>
          </w:p>
        </w:tc>
        <w:tc>
          <w:tcPr>
            <w:tcW w:w="3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0B3274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酒店管理与数字化运营、民宿管理与运营、旅游管理、导游、旅行社经营与管理、定制旅行管理与服务、研学旅行管理与服务、葡萄酒文化与营销、茶艺与茶文化、智慧景区开发与管理、智慧旅游技术应用、会展策划与管理、休闲服务与管理、餐饮智能管理、烹饪工艺与营养、中西面点工艺、西式烹饪工艺、营养配餐、食品营养与健康、文化创意与策划、文化产业经营与管理、公共文化服务与管理、旅游英语、旅游日语、森林生态旅游与康养、人力资源管理、公共事务管理、国际文化贸易、国际服务贸易、工商企业管理、连锁经营与管理、商务管理、中小企业创业与经营、市场营销、数智营销、电子商务、跨境电子商务、移动商务、网络营销与直播电商、商务数据分析与应用、空中乘务、机场运行服务与管理、国际邮轮乘务管理（备注：仅限于以上专业报考）</w:t>
            </w:r>
          </w:p>
        </w:tc>
      </w:tr>
      <w:tr w14:paraId="37DF680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1278"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394B43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会展经济与管理</w:t>
            </w:r>
          </w:p>
        </w:tc>
        <w:tc>
          <w:tcPr>
            <w:tcW w:w="3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2B1F073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会展策划与管理、旅游管理、酒店管理与数字化运营、休闲服务与管理、商务管理、市场营销、电子商务、跨境电子商务、移动商务、网络营销与直播电商、农村电子商务、商务数据分析与应用、国际经济与贸易、国际商务、展示艺术设计、文化创意与策划、文化产业经营与管理、公共文化服务与管理、传播与策划、全媒体广告策划与营销、婚庆服务与管理（备注：仅限于以上专业报考）</w:t>
            </w:r>
          </w:p>
        </w:tc>
      </w:tr>
      <w:tr w14:paraId="7FBF4C5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278"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39F54B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旅游管理与服务教育</w:t>
            </w:r>
          </w:p>
        </w:tc>
        <w:tc>
          <w:tcPr>
            <w:tcW w:w="3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12EDA3A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旅游管理、导游、旅行社经营与管理、定制旅行管理与服务、研学旅行管理与服务、酒店管理与数字化运营、民宿管理与运营、葡萄酒文化与营销、茶艺与茶文化、智慧景区开发与管理、智慧旅游技术应用、会展策划与管理、休闲服务与管理、旅游英语、旅游日语、学前教育、小学教育、小学科学教育、森林生态旅游与康养、国际邮轮乘务管理、空中乘务（备注：仅限于以上专业报考）</w:t>
            </w:r>
          </w:p>
        </w:tc>
      </w:tr>
      <w:tr w14:paraId="399186D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1278"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55105E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center"/>
              <w:textAlignment w:val="center"/>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服装与服饰设计</w:t>
            </w:r>
          </w:p>
        </w:tc>
        <w:tc>
          <w:tcPr>
            <w:tcW w:w="3721" w:type="pct"/>
            <w:tcBorders>
              <w:top w:val="nil"/>
              <w:left w:val="single" w:color="000000" w:sz="6" w:space="0"/>
              <w:bottom w:val="single" w:color="000000" w:sz="6" w:space="0"/>
              <w:right w:val="single" w:color="000000" w:sz="6" w:space="0"/>
            </w:tcBorders>
            <w:shd w:val="clear" w:color="auto" w:fill="auto"/>
            <w:tcMar>
              <w:left w:w="105" w:type="dxa"/>
              <w:right w:w="105" w:type="dxa"/>
            </w:tcMar>
            <w:vAlign w:val="center"/>
          </w:tcPr>
          <w:p w14:paraId="4E59FF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line="368" w:lineRule="atLeast"/>
              <w:ind w:left="0" w:right="0"/>
              <w:jc w:val="left"/>
              <w:rPr>
                <w:rFonts w:hint="default" w:ascii="Tahoma" w:hAnsi="Tahoma" w:eastAsia="Tahoma" w:cs="Tahoma"/>
                <w:color w:val="333333"/>
                <w:sz w:val="21"/>
                <w:szCs w:val="21"/>
              </w:rPr>
            </w:pPr>
            <w:r>
              <w:rPr>
                <w:rFonts w:hint="eastAsia" w:ascii="仿宋_GB2312" w:hAnsi="仿宋_GB2312" w:eastAsia="仿宋_GB2312" w:cs="仿宋_GB2312"/>
                <w:color w:val="333333"/>
                <w:kern w:val="0"/>
                <w:sz w:val="21"/>
                <w:szCs w:val="21"/>
                <w:lang w:val="en-US" w:eastAsia="zh-CN" w:bidi="ar"/>
              </w:rPr>
              <w:t>鞋类设计与工艺、服装设计与工艺、针织技术与针织服装、纺织品设计、首饰设计与工艺、人物形象设计、刺绣设计与工艺、时尚表演与传播、民族服装与饰品、皮革服装制作与工艺、产品艺术设计、艺术设计、视觉传达设计、服装与服饰设计、美容美体艺术、工艺美术品设计（备注：仅限于以上专业报考）</w:t>
            </w:r>
          </w:p>
        </w:tc>
      </w:tr>
    </w:tbl>
    <w:p w14:paraId="0707C53E">
      <w:r>
        <w:rPr>
          <w:rStyle w:val="4"/>
          <w:rFonts w:hint="eastAsia" w:ascii="仿宋_GB2312" w:hAnsi="仿宋_GB2312" w:eastAsia="仿宋_GB2312" w:cs="仿宋_GB2312"/>
          <w:i w:val="0"/>
          <w:iCs w:val="0"/>
          <w:caps w:val="0"/>
          <w:color w:val="333333"/>
          <w:spacing w:val="0"/>
          <w:kern w:val="0"/>
          <w:sz w:val="21"/>
          <w:szCs w:val="21"/>
          <w:lang w:val="en-US" w:eastAsia="zh-CN" w:bidi="ar"/>
        </w:rPr>
        <w:t>根据《教育部关于印发〈职业教育专业目录（2021年）〉的通知》 （教职成〔2021〕2号）内容规定，部分高职高专专业名称于2021年进行动态更新，专科应届毕业生专业以《职业教育专业目录（2021年）》为准。参照《职业教育专业目录（2021年）》中《普通高等学校高等职业教育（专科）专业目录新旧专业对照表》，已毕业退役大学生士兵所学专科专业名称如与规定可报考专业对应的旧专业名称一致，则可以报考。</w:t>
      </w:r>
      <w:bookmarkStart w:id="0" w:name="_GoBack"/>
      <w:bookmarkEnd w:id="0"/>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Tahoma">
    <w:panose1 w:val="020B0604030504040204"/>
    <w:charset w:val="00"/>
    <w:family w:val="auto"/>
    <w:pitch w:val="default"/>
    <w:sig w:usb0="E1002EFF" w:usb1="C000605B" w:usb2="00000029" w:usb3="00000000" w:csb0="200101FF" w:csb1="20280000"/>
  </w:font>
  <w:font w:name="仿宋_GB2312">
    <w:panose1 w:val="02010609030101010101"/>
    <w:charset w:val="86"/>
    <w:family w:val="auto"/>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5AA6E70"/>
    <w:rsid w:val="35AA6E7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character" w:styleId="4">
    <w:name w:val="Strong"/>
    <w:basedOn w:val="3"/>
    <w:qFormat/>
    <w:uiPriority w:val="0"/>
    <w:rPr>
      <w:b/>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2026-01-30T03:08:00Z</dcterms:created>
  <dc:creator>Waldeinsamkeit</dc:creator>
  <cp:lastModifiedBy>Waldeinsamkeit</cp:lastModifiedBy>
  <dcterms:modified xsi:type="dcterms:W3CDTF">2026-01-30T03:09:25Z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B9752B6597F542E183FDBC14564DCA16_11</vt:lpwstr>
  </property>
  <property fmtid="{D5CDD505-2E9C-101B-9397-08002B2CF9AE}" pid="4" name="KSOTemplateDocerSaveRecord">
    <vt:lpwstr>eyJoZGlkIjoiMzYwYjVmMzA4ZmNjOGE4ZjAwMjUxOTgxZjQyNmQ4ZGUiLCJ1c2VySWQiOiIyNjkwMTYzNjQifQ==</vt:lpwstr>
  </property>
</Properties>
</file>