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34C5F7">
      <w:pPr>
        <w:widowControl/>
        <w:jc w:val="left"/>
        <w:rPr>
          <w:rFonts w:ascii="Times New Roman" w:eastAsia="黑体" w:cs="Times New Roman"/>
          <w:sz w:val="32"/>
        </w:rPr>
      </w:pPr>
      <w:r>
        <w:rPr>
          <w:rFonts w:hint="eastAsia" w:ascii="Times New Roman" w:eastAsia="黑体" w:cs="Times New Roman"/>
          <w:sz w:val="32"/>
        </w:rPr>
        <w:t>附件</w:t>
      </w:r>
      <w:r>
        <w:rPr>
          <w:rFonts w:ascii="Times New Roman" w:eastAsia="黑体" w:cs="Times New Roman"/>
          <w:sz w:val="32"/>
        </w:rPr>
        <w:t>1</w:t>
      </w:r>
    </w:p>
    <w:p w14:paraId="42C84657">
      <w:pPr>
        <w:spacing w:line="520" w:lineRule="exact"/>
        <w:jc w:val="center"/>
        <w:rPr>
          <w:rFonts w:ascii="黑体" w:hAnsi="黑体" w:eastAsia="黑体" w:cs="Times New Roman"/>
          <w:sz w:val="32"/>
        </w:rPr>
      </w:pPr>
      <w:r>
        <w:rPr>
          <w:rFonts w:hint="eastAsia" w:ascii="Times New Roman" w:eastAsia="微软雅黑" w:cs="Times New Roman"/>
          <w:sz w:val="32"/>
        </w:rPr>
        <w:t xml:space="preserve">   </w:t>
      </w:r>
      <w:r>
        <w:rPr>
          <w:rFonts w:hint="eastAsia" w:ascii="黑体" w:hAnsi="黑体" w:eastAsia="黑体" w:cs="Times New Roman"/>
          <w:sz w:val="32"/>
        </w:rPr>
        <w:t xml:space="preserve"> </w:t>
      </w:r>
      <w:bookmarkStart w:id="0" w:name="_GoBack"/>
      <w:r>
        <w:rPr>
          <w:rFonts w:hint="eastAsia" w:ascii="黑体" w:hAnsi="黑体" w:eastAsia="黑体" w:cs="Times New Roman"/>
          <w:sz w:val="32"/>
        </w:rPr>
        <w:t>202</w:t>
      </w:r>
      <w:r>
        <w:rPr>
          <w:rFonts w:ascii="黑体" w:hAnsi="黑体" w:eastAsia="黑体" w:cs="Times New Roman"/>
          <w:sz w:val="32"/>
        </w:rPr>
        <w:t>5</w:t>
      </w:r>
      <w:r>
        <w:rPr>
          <w:rFonts w:hint="eastAsia" w:ascii="黑体" w:hAnsi="黑体" w:eastAsia="黑体" w:cs="Times New Roman"/>
          <w:sz w:val="32"/>
        </w:rPr>
        <w:t>年普通专升本招生专业对高职（专科）</w:t>
      </w:r>
    </w:p>
    <w:p w14:paraId="0AFE1676">
      <w:pPr>
        <w:spacing w:line="520" w:lineRule="exact"/>
        <w:jc w:val="center"/>
        <w:rPr>
          <w:rFonts w:ascii="黑体" w:hAnsi="黑体" w:eastAsia="黑体" w:cs="Times New Roman"/>
          <w:sz w:val="32"/>
        </w:rPr>
      </w:pPr>
      <w:r>
        <w:rPr>
          <w:rFonts w:hint="eastAsia" w:ascii="黑体" w:hAnsi="黑体" w:eastAsia="黑体" w:cs="Times New Roman"/>
          <w:sz w:val="32"/>
        </w:rPr>
        <w:t xml:space="preserve">  专业的报考范围要求</w:t>
      </w:r>
      <w:bookmarkEnd w:id="0"/>
    </w:p>
    <w:p w14:paraId="5A3C0740">
      <w:pPr>
        <w:jc w:val="left"/>
        <w:rPr>
          <w:rFonts w:ascii="黑体" w:eastAsia="黑体" w:cs="黑体"/>
          <w:bCs/>
          <w:sz w:val="24"/>
          <w:szCs w:val="24"/>
        </w:rPr>
      </w:pPr>
      <w:r>
        <w:rPr>
          <w:rFonts w:hint="eastAsia" w:ascii="Times New Roman" w:eastAsia="宋体" w:cs="Times New Roman"/>
          <w:bCs/>
          <w:sz w:val="28"/>
          <w:szCs w:val="28"/>
        </w:rPr>
        <w:t>（一）普通考生</w:t>
      </w:r>
    </w:p>
    <w:tbl>
      <w:tblPr>
        <w:tblStyle w:val="2"/>
        <w:tblW w:w="9209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9"/>
        <w:gridCol w:w="6520"/>
      </w:tblGrid>
      <w:tr w14:paraId="46480D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99E04">
            <w:pPr>
              <w:widowControl/>
              <w:jc w:val="center"/>
              <w:rPr>
                <w:rFonts w:ascii="黑体" w:hAnsi="黑体" w:eastAsia="黑体" w:cs="宋体"/>
                <w:kern w:val="0"/>
                <w:sz w:val="28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4"/>
              </w:rPr>
              <w:t>招生专业</w:t>
            </w:r>
          </w:p>
        </w:tc>
        <w:tc>
          <w:tcPr>
            <w:tcW w:w="6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3A18A">
            <w:pPr>
              <w:widowControl/>
              <w:jc w:val="center"/>
              <w:rPr>
                <w:rFonts w:ascii="黑体" w:hAnsi="黑体" w:eastAsia="黑体" w:cs="宋体"/>
                <w:kern w:val="0"/>
                <w:sz w:val="28"/>
                <w:szCs w:val="24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4"/>
              </w:rPr>
              <w:t>对应高职高专专业</w:t>
            </w:r>
          </w:p>
        </w:tc>
      </w:tr>
      <w:tr w14:paraId="1F2CB8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6" w:hRule="atLeast"/>
        </w:trPr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FBE5B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环境工程</w:t>
            </w:r>
          </w:p>
        </w:tc>
        <w:tc>
          <w:tcPr>
            <w:tcW w:w="6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71C72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环境工程技术、环境监测与控制技术、农村环境保护、室内环境检测与控制技术、环境信息技术、核与辐射检测防护技术、环境规划与管理、环境评价与咨询服务、污染修复与生态工程技术、清洁生产与减排技术、资源综合利用与管理技术、安全健康与环保、化工安全技术及其相关专业</w:t>
            </w:r>
          </w:p>
        </w:tc>
      </w:tr>
      <w:tr w14:paraId="3616BA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1" w:hRule="atLeast"/>
        </w:trPr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3C48C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食品科学与工程</w:t>
            </w:r>
          </w:p>
        </w:tc>
        <w:tc>
          <w:tcPr>
            <w:tcW w:w="6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410E99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食品营养与检测、食品检验检测技术、食品加工技术、食品生物技术、农业生物技术、食品贮运与营销、营养与食品卫生、保健品开发与管理、绿色食品生产与检验、农产品加工与质量检测、食品质量与安全、粮食工程技术、粮油储藏与检测技术、生物产品检验检疫、烹调工艺与营养、营养配餐、中西面点工艺、西餐工艺、酿酒技术、发酵技术、食品机械与管理、农畜特产品加工、食品卫生检验、食品分析与检验、食品加工及管理、食品检测及管理、乳品工艺、食品工艺与检测、食品工艺技术、畜产品加工与检测、食品智能加工技术、食品营养与健康、食品药品监督管理及其相关专业</w:t>
            </w:r>
          </w:p>
        </w:tc>
      </w:tr>
      <w:tr w14:paraId="36209B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" w:hRule="atLeast"/>
        </w:trPr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3A960C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制药工程</w:t>
            </w:r>
          </w:p>
        </w:tc>
        <w:tc>
          <w:tcPr>
            <w:tcW w:w="65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39C34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药品生物技术、药品生产技术、药品经营与管理、中药生产与加工、中药学、药学、制药设备应用技术、药品质量与安全及其相关专业</w:t>
            </w:r>
          </w:p>
        </w:tc>
      </w:tr>
      <w:tr w14:paraId="2C6B1E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" w:hRule="atLeast"/>
        </w:trPr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E50B4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中药学</w:t>
            </w:r>
          </w:p>
        </w:tc>
        <w:tc>
          <w:tcPr>
            <w:tcW w:w="65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45B5EA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0CE174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" w:hRule="atLeast"/>
        </w:trPr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BC996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药学</w:t>
            </w:r>
          </w:p>
        </w:tc>
        <w:tc>
          <w:tcPr>
            <w:tcW w:w="65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F72AC6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14FB2F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47862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园林</w:t>
            </w:r>
          </w:p>
        </w:tc>
        <w:tc>
          <w:tcPr>
            <w:tcW w:w="6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73847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园林技术、园艺技术、园林工程技术、风景园林设计、环境艺术设计及其相关专业</w:t>
            </w:r>
          </w:p>
        </w:tc>
      </w:tr>
      <w:tr w14:paraId="323CAB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" w:hRule="atLeast"/>
        </w:trPr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C003F9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园艺</w:t>
            </w:r>
          </w:p>
        </w:tc>
        <w:tc>
          <w:tcPr>
            <w:tcW w:w="6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73CDE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园艺技术、茶叶栽培与茶叶加工及其相关专业</w:t>
            </w:r>
          </w:p>
        </w:tc>
      </w:tr>
      <w:tr w14:paraId="4DA4BF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92E7A3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计算机科学与技术</w:t>
            </w:r>
          </w:p>
        </w:tc>
        <w:tc>
          <w:tcPr>
            <w:tcW w:w="6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8A19C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计算机应用技术、计算机网络技术、软件技术、计算机信息管理、计算机系统与维护、软件与信息服务、嵌入式技术与应用、信息安全与管理、移动应用开发、云计算技术与应用及其相关专业</w:t>
            </w:r>
          </w:p>
        </w:tc>
      </w:tr>
      <w:tr w14:paraId="105F9E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ECEB07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网络工程</w:t>
            </w:r>
          </w:p>
        </w:tc>
        <w:tc>
          <w:tcPr>
            <w:tcW w:w="6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115605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计算机应用技术、计算机网络技术、软件技术、计算机信息管理、计算机系统与维护、软件与信息服务、嵌入式技术与应用、信息安全与管理、移动应用开发、云计算技术与应用及其相关专业</w:t>
            </w:r>
          </w:p>
        </w:tc>
      </w:tr>
      <w:tr w14:paraId="4CE33F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</w:trPr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CD556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财务管理</w:t>
            </w:r>
          </w:p>
        </w:tc>
        <w:tc>
          <w:tcPr>
            <w:tcW w:w="65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F5E96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大数据与财务管理、大数据与会计、大数据与审计、市场营销、旅游管理、电子商务、移动商务、资产评估与管理、金融服务与管理、金融科技应用、保险实务、信用管理、财富管理、证券实务、商务数据分析与应用及相关专业</w:t>
            </w:r>
          </w:p>
        </w:tc>
      </w:tr>
      <w:tr w14:paraId="26C898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08B94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市场营销</w:t>
            </w:r>
          </w:p>
        </w:tc>
        <w:tc>
          <w:tcPr>
            <w:tcW w:w="65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931574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255912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43298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金融工程</w:t>
            </w:r>
          </w:p>
        </w:tc>
        <w:tc>
          <w:tcPr>
            <w:tcW w:w="65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2D7641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64C13F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449770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英语</w:t>
            </w:r>
          </w:p>
        </w:tc>
        <w:tc>
          <w:tcPr>
            <w:tcW w:w="6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69DF23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语言类、教育类、文化类、旅游类、财经商贸类、新闻传播类、文秘类、公共管理与服务类等相关专业</w:t>
            </w:r>
          </w:p>
        </w:tc>
      </w:tr>
      <w:tr w14:paraId="09D762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3A251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商务英语</w:t>
            </w:r>
          </w:p>
        </w:tc>
        <w:tc>
          <w:tcPr>
            <w:tcW w:w="6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0D64A9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语言类、教育类、文化类、旅游类、财经商贸类、新闻传播类、文秘类、公共管理与服务类等相关专业</w:t>
            </w:r>
          </w:p>
        </w:tc>
      </w:tr>
      <w:tr w14:paraId="2A966A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9A6020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视觉传达设计</w:t>
            </w:r>
          </w:p>
        </w:tc>
        <w:tc>
          <w:tcPr>
            <w:tcW w:w="6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70D02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艺术设计、广告设计与制作、美术教育、数字媒体艺术设计、视觉传播设计与制作、动漫设计等相关专业</w:t>
            </w:r>
          </w:p>
        </w:tc>
      </w:tr>
      <w:tr w14:paraId="6A34F6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CF414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环境设计</w:t>
            </w:r>
          </w:p>
        </w:tc>
        <w:tc>
          <w:tcPr>
            <w:tcW w:w="6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CCB54C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艺术设计、建筑室内设计、环境艺术设计、风景园林设计等相关专业</w:t>
            </w:r>
          </w:p>
        </w:tc>
      </w:tr>
      <w:tr w14:paraId="3E792B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3FF050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机械设计制造及其自动化</w:t>
            </w:r>
          </w:p>
        </w:tc>
        <w:tc>
          <w:tcPr>
            <w:tcW w:w="6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962CB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机电设备技术、机电一体化技术、机械设计与制造、机械制造与自动化、数控技术、机械装备制造技术、自动化生产设备应用、机电设备安装技术及其相关专业</w:t>
            </w:r>
          </w:p>
        </w:tc>
      </w:tr>
      <w:tr w14:paraId="694B11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21905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数字媒体技术</w:t>
            </w:r>
          </w:p>
        </w:tc>
        <w:tc>
          <w:tcPr>
            <w:tcW w:w="6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56730A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软件技术、计算机应用技术、计算机网络技术、计算机信息管理、计算机系统与维护、软件与信息服务、嵌入式技术与应用、信息安全与管理、移动应用开发、云计算技术与应用等相关专业</w:t>
            </w:r>
          </w:p>
        </w:tc>
      </w:tr>
      <w:tr w14:paraId="5163C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6FCD0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大数据管理与应用</w:t>
            </w:r>
          </w:p>
        </w:tc>
        <w:tc>
          <w:tcPr>
            <w:tcW w:w="6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606407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软件技术、计算机应用技术、计算机网络技术、计算机信息管理、计算机系统与维护、软件与信息服务、嵌入式技术与应用、信息安全与管理、电子商务、移动应用开发、云计算技术与应用等相关专业</w:t>
            </w:r>
          </w:p>
        </w:tc>
      </w:tr>
      <w:tr w14:paraId="6906F9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" w:hRule="atLeast"/>
        </w:trPr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1AC9B3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工程造价</w:t>
            </w:r>
          </w:p>
        </w:tc>
        <w:tc>
          <w:tcPr>
            <w:tcW w:w="65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A3AE0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建筑工程技术、工程造价、建设工程管理、建设经济信息化管理、建设工程监理、建筑设备工程技术、给排水工程技术、市政工程技术、地下与隧道工程技术、岩土工程技术、工程测量技术、土木工程检测技术、环境工程技术、建筑材料工程技术、建筑装饰材料技术、建筑装饰工程技术、城乡规划、装配式建筑工程技术、古建筑工程技术、园林工程技术、村镇建设与管理、铁道工程技术、铁路桥梁与隧道工程技术、高速铁道工程技术、港口与航道工程技术、城市轨道交通工程技术、物业管理、水利水电工程管理、建筑电气工程技术、电力系统自动化技术、智能建造技术、安全智能检测技术、智慧城市管理、供热通风与空调工程技术、建筑智能化工程技术、建筑消防技术、计算机应用技术、计算机网络技术及其相关专业</w:t>
            </w:r>
          </w:p>
        </w:tc>
      </w:tr>
      <w:tr w14:paraId="46CAC9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</w:trPr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E749C4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土木工程</w:t>
            </w:r>
          </w:p>
        </w:tc>
        <w:tc>
          <w:tcPr>
            <w:tcW w:w="65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9C79D4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59BE19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1" w:hRule="atLeast"/>
        </w:trPr>
        <w:tc>
          <w:tcPr>
            <w:tcW w:w="26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1C82A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建筑电气与智能化</w:t>
            </w:r>
          </w:p>
        </w:tc>
        <w:tc>
          <w:tcPr>
            <w:tcW w:w="65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B85F51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</w:tr>
    </w:tbl>
    <w:p w14:paraId="34D9773E">
      <w:pPr>
        <w:spacing w:line="400" w:lineRule="exact"/>
        <w:rPr>
          <w:rFonts w:ascii="Times New Roman" w:eastAsia="宋体" w:cs="Times New Roman"/>
          <w:sz w:val="22"/>
        </w:rPr>
      </w:pPr>
      <w:r>
        <w:rPr>
          <w:rFonts w:hint="eastAsia" w:ascii="Times New Roman" w:eastAsia="宋体" w:cs="Times New Roman"/>
          <w:sz w:val="22"/>
        </w:rPr>
        <w:t>注：上表未列出的高职高专专业，应报考我校已公布的相同或相近本科招生专业。</w:t>
      </w:r>
    </w:p>
    <w:p w14:paraId="51551FA8">
      <w:pPr>
        <w:spacing w:line="400" w:lineRule="exact"/>
        <w:jc w:val="left"/>
        <w:rPr>
          <w:rFonts w:ascii="Times New Roman" w:eastAsia="宋体" w:cs="Times New Roman"/>
          <w:sz w:val="22"/>
        </w:rPr>
      </w:pPr>
    </w:p>
    <w:p w14:paraId="6F45E85B">
      <w:pPr>
        <w:numPr>
          <w:ilvl w:val="0"/>
          <w:numId w:val="1"/>
        </w:numPr>
        <w:spacing w:line="400" w:lineRule="exact"/>
        <w:jc w:val="left"/>
        <w:rPr>
          <w:rFonts w:ascii="Times New Roman" w:eastAsia="宋体" w:cs="Times New Roman"/>
          <w:bCs/>
          <w:sz w:val="28"/>
          <w:szCs w:val="28"/>
        </w:rPr>
      </w:pPr>
      <w:r>
        <w:rPr>
          <w:rFonts w:hint="eastAsia" w:ascii="Times New Roman" w:eastAsia="宋体" w:cs="Times New Roman"/>
          <w:bCs/>
          <w:sz w:val="28"/>
          <w:szCs w:val="28"/>
        </w:rPr>
        <w:t>退役大学生士兵</w:t>
      </w:r>
    </w:p>
    <w:p w14:paraId="2CEFFB1E">
      <w:pPr>
        <w:widowControl/>
        <w:jc w:val="left"/>
        <w:rPr>
          <w:rFonts w:ascii="Times New Roman" w:eastAsia="宋体" w:cs="宋体"/>
          <w:kern w:val="0"/>
          <w:sz w:val="24"/>
          <w:szCs w:val="24"/>
        </w:rPr>
      </w:pPr>
      <w:r>
        <w:rPr>
          <w:rFonts w:hint="eastAsia" w:ascii="Times New Roman" w:eastAsia="宋体" w:cs="宋体"/>
          <w:kern w:val="0"/>
          <w:sz w:val="24"/>
          <w:szCs w:val="24"/>
        </w:rPr>
        <w:t>考生结合自己专科专业及职业规划自行选择报考专业。</w:t>
      </w:r>
    </w:p>
    <w:p w14:paraId="2E275AA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8B3299C"/>
    <w:multiLevelType w:val="singleLevel"/>
    <w:tmpl w:val="E8B3299C"/>
    <w:lvl w:ilvl="0" w:tentative="0">
      <w:start w:val="2"/>
      <w:numFmt w:val="chineseCounting"/>
      <w:suff w:val="nothing"/>
      <w:lvlText w:val="（%1）"/>
      <w:lvlJc w:val="left"/>
      <w:pPr>
        <w:tabs>
          <w:tab w:val="left" w:pos="0"/>
        </w:tabs>
        <w:ind w:left="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F92CAA"/>
    <w:rsid w:val="091D6C80"/>
    <w:rsid w:val="12F92CAA"/>
    <w:rsid w:val="2EAA33F6"/>
    <w:rsid w:val="31ED3189"/>
    <w:rsid w:val="4F027E1C"/>
    <w:rsid w:val="74652E24"/>
    <w:rsid w:val="7A292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Times New Roman" w:eastAsia="等线" w:cs="Arial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2025-02-28T12:30:00Z</dcterms:created>
  <dc:creator>Avalon丶</dc:creator>
  <cp:lastModifiedBy>Avalon丶</cp:lastModifiedBy>
  <dcterms:modified xsi:type="dcterms:W3CDTF">2025-02-28T12:32:46Z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15627F02513549C1870B1E7D94B681E3_13</vt:lpwstr>
  </property>
  <property fmtid="{D5CDD505-2E9C-101B-9397-08002B2CF9AE}" pid="4" name="KSOTemplateDocerSaveRecord">
    <vt:lpwstr>eyJoZGlkIjoiZGRlNmIxNGZkOGE5NjViMjc3MWMyZDZhYWMyMzkxZmEiLCJ1c2VySWQiOiIyNTcyNTQ3MjMifQ==</vt:lpwstr>
  </property>
</Properties>
</file>